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occ20260731_10q.htm"/>
      <w:bookmarkStart w:id="1" w:name="ksocc20260731_10q"/>
      <w:bookmarkEnd w:id="0"/>
      <w:bookmarkEnd w:id="1"/>
      <w:r>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UNITED STATES</w:t>
        <w:br/>
        <w:t>SECURITIES AND EXCHANGE COMMISSION</w:t>
        <w:b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QUARTERLY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quarterly period ended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r>
        <w:rPr>
          <w:rFonts w:ascii="Times New Roman" w:hAnsi="Times New Roman"/>
          <w:b/>
          <w:caps w:val="false"/>
          <w:smallCaps w:val="false"/>
          <w:sz w:val="20"/>
        </w:rPr>
        <w:t>TRANSITION REPORT PURSUANT TO SECTION</w:t>
      </w:r>
      <w:r>
        <w:rPr>
          <w:rFonts w:ascii="Times New Roman" w:hAnsi="Times New Roman"/>
          <w:caps w:val="false"/>
          <w:smallCaps w:val="false"/>
          <w:sz w:val="20"/>
        </w:rPr>
        <w:t> </w:t>
      </w:r>
      <w:r>
        <w:rPr>
          <w:rFonts w:ascii="Times New Roman" w:hAnsi="Times New Roman"/>
          <w:b/>
          <w:caps w:val="false"/>
          <w:smallCaps w:val="false"/>
          <w:sz w:val="20"/>
        </w:rPr>
        <w:t>13 OR 15(d)</w:t>
      </w:r>
      <w:r>
        <w:rPr>
          <w:rFonts w:ascii="Times New Roman" w:hAnsi="Times New Roman"/>
          <w:caps w:val="false"/>
          <w:smallCaps w:val="false"/>
          <w:sz w:val="20"/>
        </w:rPr>
        <w:br/>
      </w:r>
      <w:r>
        <w:rPr>
          <w:rFonts w:ascii="Times New Roman" w:hAnsi="Times New Roman"/>
          <w:b/>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 the transition period from _____________ to 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Commission file number 0-27022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5080" w:type="dxa"/>
        <w:jc w:val="left"/>
        <w:tblInd w:w="0" w:type="dxa"/>
        <w:tblLayout w:type="fixed"/>
        <w:tblCellMar>
          <w:top w:w="0" w:type="dxa"/>
          <w:left w:w="0" w:type="dxa"/>
          <w:bottom w:w="0" w:type="dxa"/>
          <w:right w:w="0" w:type="dxa"/>
        </w:tblCellMar>
      </w:tblPr>
      <w:tblGrid>
        <w:gridCol w:w="3560"/>
        <w:gridCol w:w="1520"/>
      </w:tblGrid>
      <w:tr>
        <w:trPr/>
        <w:tc>
          <w:tcPr>
            <w:tcW w:w="3560" w:type="dxa"/>
            <w:tcBorders/>
            <w:vAlign w:val="center"/>
          </w:tcPr>
          <w:p>
            <w:pPr>
              <w:pStyle w:val="TableContents"/>
              <w:bidi w:val="0"/>
              <w:spacing w:before="0" w:after="283"/>
              <w:jc w:val="center"/>
              <w:rPr>
                <w:b/>
              </w:rPr>
            </w:pPr>
            <w:r>
              <w:rPr>
                <w:b/>
              </w:rPr>
              <w:t>Virginia</w:t>
            </w:r>
          </w:p>
        </w:tc>
        <w:tc>
          <w:tcPr>
            <w:tcW w:w="1520" w:type="dxa"/>
            <w:tcBorders/>
            <w:vAlign w:val="center"/>
          </w:tcPr>
          <w:p>
            <w:pPr>
              <w:pStyle w:val="TableContents"/>
              <w:bidi w:val="0"/>
              <w:spacing w:before="0" w:after="283"/>
              <w:jc w:val="center"/>
              <w:rPr>
                <w:b/>
              </w:rPr>
            </w:pPr>
            <w:r>
              <w:rPr>
                <w:b/>
              </w:rPr>
              <w:t>54-1237042</w:t>
            </w:r>
          </w:p>
        </w:tc>
      </w:tr>
      <w:tr>
        <w:trPr/>
        <w:tc>
          <w:tcPr>
            <w:tcW w:w="356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(State or other jurisdiction of incorporation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or organization) </w:t>
            </w:r>
          </w:p>
        </w:tc>
        <w:tc>
          <w:tcPr>
            <w:tcW w:w="1520"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(I.R.S. Employer </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5290 Concourse Drive</w:t>
      </w:r>
      <w:r>
        <w:rPr>
          <w:rFonts w:ascii="Times New Roman" w:hAnsi="Times New Roman"/>
          <w:caps w:val="false"/>
          <w:smallCaps w:val="false"/>
          <w:sz w:val="20"/>
        </w:rPr>
        <w:br/>
      </w:r>
      <w:r>
        <w:rPr>
          <w:rFonts w:ascii="Times New Roman" w:hAnsi="Times New Roman"/>
          <w:b/>
          <w:caps w:val="false"/>
          <w:smallCaps w:val="false"/>
          <w:sz w:val="20"/>
        </w:rPr>
        <w:t>Roanoke, Virginia 24019</w:t>
      </w:r>
      <w:r>
        <w:rPr>
          <w:rFonts w:ascii="Times New Roman" w:hAnsi="Times New Roman"/>
          <w:caps w:val="false"/>
          <w:smallCaps w:val="false"/>
          <w:sz w:val="20"/>
        </w:rPr>
        <w:b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(540) 265-0690</w:t>
      </w:r>
      <w:r>
        <w:rPr>
          <w:rFonts w:ascii="Times New Roman" w:hAnsi="Times New Roman"/>
          <w:caps w:val="false"/>
          <w:smallCaps w:val="false"/>
          <w:sz w:val="20"/>
        </w:rPr>
        <w:br/>
        <w:t>(Registrant’s telephone number, including area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050" w:type="dxa"/>
        <w:jc w:val="left"/>
        <w:tblInd w:w="0" w:type="dxa"/>
        <w:tblLayout w:type="fixed"/>
        <w:tblCellMar>
          <w:top w:w="0" w:type="dxa"/>
          <w:left w:w="0" w:type="dxa"/>
          <w:bottom w:w="0" w:type="dxa"/>
          <w:right w:w="0" w:type="dxa"/>
        </w:tblCellMar>
      </w:tblPr>
      <w:tblGrid>
        <w:gridCol w:w="2375"/>
        <w:gridCol w:w="1415"/>
        <w:gridCol w:w="3260"/>
      </w:tblGrid>
      <w:tr>
        <w:trPr/>
        <w:tc>
          <w:tcPr>
            <w:tcW w:w="237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Title of Each Class</w:t>
            </w:r>
          </w:p>
        </w:tc>
        <w:tc>
          <w:tcPr>
            <w:tcW w:w="1415"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Trading Symbol</w:t>
            </w:r>
          </w:p>
        </w:tc>
        <w:tc>
          <w:tcPr>
            <w:tcW w:w="3260" w:type="dxa"/>
            <w:tcBorders/>
            <w:vAlign w:val="center"/>
          </w:tcPr>
          <w:p>
            <w:pPr>
              <w:pStyle w:val="TableContents"/>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Name of exchange on which registered</w:t>
            </w:r>
          </w:p>
        </w:tc>
      </w:tr>
      <w:tr>
        <w:trPr/>
        <w:tc>
          <w:tcPr>
            <w:tcW w:w="23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Common Stock, no par value</w:t>
            </w:r>
          </w:p>
        </w:tc>
        <w:tc>
          <w:tcPr>
            <w:tcW w:w="141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OCC</w:t>
            </w:r>
          </w:p>
        </w:tc>
        <w:tc>
          <w:tcPr>
            <w:tcW w:w="32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Nasdaq Global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 ☐     Accelerated Filer ☐     Non-accelerated Filer ☒     Smaller Reporting Company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40"/>
        <w:jc w:val="left"/>
        <w:rPr>
          <w:rFonts w:ascii="Times New Roman" w:hAnsi="Times New Roman"/>
          <w:caps w:val="false"/>
          <w:smallCaps w:val="false"/>
          <w:sz w:val="20"/>
        </w:rPr>
      </w:pPr>
      <w:r>
        <w:rPr>
          <w:rFonts w:ascii="Times New Roman" w:hAnsi="Times New Roman"/>
          <w:caps w:val="false"/>
          <w:smallCaps w:val="false"/>
          <w:sz w:val="20"/>
        </w:rPr>
        <w:t>As of September 2, 2026, 8,842,024 shares of the registrant’s Common Stock, no par value, were outstanding.</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OPTICAL CABLE CORPORATION</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 10-Q Index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Nine Months Ended July 31,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Page</w:t>
      </w:r>
    </w:p>
    <w:p>
      <w:pPr>
        <w:pStyle w:val="TextBody"/>
        <w:bidi w:val="0"/>
        <w:spacing w:before="0" w:after="0"/>
        <w:ind w:left="0" w:right="0" w:hanging="0"/>
        <w:jc w:val="righ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86"/>
        <w:gridCol w:w="703"/>
        <w:gridCol w:w="8355"/>
        <w:gridCol w:w="261"/>
      </w:tblGrid>
      <w:tr>
        <w:trPr/>
        <w:tc>
          <w:tcPr>
            <w:tcW w:w="886" w:type="dxa"/>
            <w:tcBorders/>
            <w:vAlign w:val="center"/>
          </w:tcPr>
          <w:p>
            <w:pPr>
              <w:pStyle w:val="TableContents"/>
              <w:bidi w:val="0"/>
              <w:spacing w:before="0" w:after="283"/>
              <w:jc w:val="left"/>
              <w:rPr>
                <w:b/>
              </w:rPr>
            </w:pPr>
            <w:r>
              <w:rPr>
                <w:b/>
              </w:rPr>
              <w:t>PART I.</w:t>
            </w:r>
          </w:p>
        </w:tc>
        <w:tc>
          <w:tcPr>
            <w:tcW w:w="9319" w:type="dxa"/>
            <w:gridSpan w:val="3"/>
            <w:tcBorders/>
            <w:vAlign w:val="center"/>
          </w:tcPr>
          <w:p>
            <w:pPr>
              <w:pStyle w:val="TableContents"/>
              <w:bidi w:val="0"/>
              <w:spacing w:before="0" w:after="283"/>
              <w:jc w:val="left"/>
              <w:rPr/>
            </w:pPr>
            <w:hyperlink w:anchor="part1_financial">
              <w:r>
                <w:rPr>
                  <w:rStyle w:val="InternetLink"/>
                  <w:b/>
                </w:rPr>
                <w:t>FINANCIAL INFORMATION</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hyperlink w:anchor="item1_financial">
              <w:r>
                <w:rPr>
                  <w:rStyle w:val="InternetLink"/>
                  <w:b/>
                </w:rPr>
                <w:t>Item</w:t>
              </w:r>
            </w:hyperlink>
            <w:hyperlink w:anchor="item1_financial">
              <w:r>
                <w:rPr>
                  <w:rStyle w:val="InternetLink"/>
                </w:rPr>
                <w:t> </w:t>
              </w:r>
            </w:hyperlink>
            <w:hyperlink w:anchor="item1_financial">
              <w:r>
                <w:rPr>
                  <w:rStyle w:val="InternetLink"/>
                  <w:b/>
                </w:rPr>
                <w:t>1.</w:t>
              </w:r>
            </w:hyperlink>
          </w:p>
        </w:tc>
        <w:tc>
          <w:tcPr>
            <w:tcW w:w="8355" w:type="dxa"/>
            <w:tcBorders/>
            <w:vAlign w:val="center"/>
          </w:tcPr>
          <w:p>
            <w:pPr>
              <w:pStyle w:val="TableContents"/>
              <w:bidi w:val="0"/>
              <w:spacing w:before="0" w:after="283"/>
              <w:jc w:val="left"/>
              <w:rPr/>
            </w:pPr>
            <w:hyperlink w:anchor="item1_financial">
              <w:r>
                <w:rPr>
                  <w:rStyle w:val="InternetLink"/>
                  <w:b/>
                </w:rPr>
                <w:t>Financial Statements (unaudited)</w:t>
              </w:r>
            </w:hyperlink>
          </w:p>
        </w:tc>
        <w:tc>
          <w:tcPr>
            <w:tcW w:w="261" w:type="dxa"/>
            <w:tcBorders/>
            <w:vAlign w:val="center"/>
          </w:tcPr>
          <w:p>
            <w:pPr>
              <w:pStyle w:val="TableContents"/>
              <w:bidi w:val="0"/>
              <w:spacing w:before="0" w:after="283"/>
              <w:jc w:val="right"/>
              <w:rPr/>
            </w:pPr>
            <w:hyperlink w:anchor="item1_financial">
              <w:r>
                <w:rPr>
                  <w:rStyle w:val="InternetLink"/>
                </w:rPr>
                <w:t>2</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hyperlink w:anchor="balance_sheets">
              <w:r>
                <w:rPr>
                  <w:rStyle w:val="InternetLink"/>
                </w:rPr>
                <w:t>Condensed Consolidated Balance Sheets – July 31, 2026 and October 31, 2025</w:t>
              </w:r>
            </w:hyperlink>
          </w:p>
        </w:tc>
        <w:tc>
          <w:tcPr>
            <w:tcW w:w="261" w:type="dxa"/>
            <w:tcBorders/>
            <w:vAlign w:val="center"/>
          </w:tcPr>
          <w:p>
            <w:pPr>
              <w:pStyle w:val="TableContents"/>
              <w:bidi w:val="0"/>
              <w:spacing w:before="0" w:after="283"/>
              <w:jc w:val="right"/>
              <w:rPr/>
            </w:pPr>
            <w:hyperlink w:anchor="balance_sheets">
              <w:r>
                <w:rPr>
                  <w:rStyle w:val="InternetLink"/>
                </w:rPr>
                <w:t>2</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ind w:left="0" w:right="0" w:hanging="180"/>
              <w:jc w:val="left"/>
              <w:rPr/>
            </w:pPr>
            <w:r>
              <w:rPr/>
              <w:t> </w:t>
            </w:r>
          </w:p>
        </w:tc>
        <w:tc>
          <w:tcPr>
            <w:tcW w:w="8355" w:type="dxa"/>
            <w:tcBorders/>
            <w:vAlign w:val="center"/>
          </w:tcPr>
          <w:p>
            <w:pPr>
              <w:pStyle w:val="TableContents"/>
              <w:bidi w:val="0"/>
              <w:spacing w:before="0" w:after="283"/>
              <w:jc w:val="left"/>
              <w:rPr/>
            </w:pPr>
            <w:hyperlink w:anchor="operations">
              <w:r>
                <w:rPr>
                  <w:rStyle w:val="InternetLink"/>
                </w:rPr>
                <w:t>Condensed Consolidated Statements of Operations – Three Months and Nine Months Ended July 31, 2026 and 2025</w:t>
              </w:r>
            </w:hyperlink>
          </w:p>
        </w:tc>
        <w:tc>
          <w:tcPr>
            <w:tcW w:w="261" w:type="dxa"/>
            <w:tcBorders/>
            <w:vAlign w:val="center"/>
          </w:tcPr>
          <w:p>
            <w:pPr>
              <w:pStyle w:val="TableContents"/>
              <w:bidi w:val="0"/>
              <w:spacing w:before="0" w:after="283"/>
              <w:jc w:val="right"/>
              <w:rPr/>
            </w:pPr>
            <w:hyperlink w:anchor="operations">
              <w:r>
                <w:rPr>
                  <w:rStyle w:val="InternetLink"/>
                </w:rPr>
                <w:t>3</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ind w:left="0" w:right="0" w:hanging="180"/>
              <w:jc w:val="left"/>
              <w:rPr/>
            </w:pPr>
            <w:r>
              <w:rPr/>
              <w:t> </w:t>
            </w:r>
          </w:p>
        </w:tc>
        <w:tc>
          <w:tcPr>
            <w:tcW w:w="8355" w:type="dxa"/>
            <w:tcBorders/>
            <w:vAlign w:val="center"/>
          </w:tcPr>
          <w:p>
            <w:pPr>
              <w:pStyle w:val="TableContents"/>
              <w:bidi w:val="0"/>
              <w:spacing w:before="0" w:after="283"/>
              <w:jc w:val="left"/>
              <w:rPr/>
            </w:pPr>
            <w:hyperlink w:anchor="equity">
              <w:r>
                <w:rPr>
                  <w:rStyle w:val="InternetLink"/>
                </w:rPr>
                <w:t>Condensed Consolidated Statements of Shareholders’ Equity – Three Months and Nine Months Ended July 31, 2026 and 2025</w:t>
              </w:r>
            </w:hyperlink>
          </w:p>
        </w:tc>
        <w:tc>
          <w:tcPr>
            <w:tcW w:w="261" w:type="dxa"/>
            <w:tcBorders/>
            <w:vAlign w:val="center"/>
          </w:tcPr>
          <w:p>
            <w:pPr>
              <w:pStyle w:val="TableContents"/>
              <w:bidi w:val="0"/>
              <w:spacing w:before="0" w:after="283"/>
              <w:jc w:val="right"/>
              <w:rPr/>
            </w:pPr>
            <w:hyperlink w:anchor="equity">
              <w:r>
                <w:rPr>
                  <w:rStyle w:val="InternetLink"/>
                </w:rPr>
                <w:t>4</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hyperlink w:anchor="cash_flows">
              <w:r>
                <w:rPr>
                  <w:rStyle w:val="InternetLink"/>
                </w:rPr>
                <w:t>Condensed Consolidated Statements of Cash Flows – Nine Months Ended July 31, 2026 and 2025</w:t>
              </w:r>
            </w:hyperlink>
          </w:p>
        </w:tc>
        <w:tc>
          <w:tcPr>
            <w:tcW w:w="261" w:type="dxa"/>
            <w:tcBorders/>
            <w:vAlign w:val="center"/>
          </w:tcPr>
          <w:p>
            <w:pPr>
              <w:pStyle w:val="TableContents"/>
              <w:bidi w:val="0"/>
              <w:spacing w:before="0" w:after="283"/>
              <w:jc w:val="right"/>
              <w:rPr/>
            </w:pPr>
            <w:hyperlink w:anchor="cash_flows">
              <w:r>
                <w:rPr>
                  <w:rStyle w:val="InternetLink"/>
                </w:rPr>
                <w:t>5</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hyperlink w:anchor="notes">
              <w:r>
                <w:rPr>
                  <w:rStyle w:val="InternetLink"/>
                </w:rPr>
                <w:t>Condensed Notes to Condensed Consolidated Financial Statements</w:t>
              </w:r>
            </w:hyperlink>
          </w:p>
        </w:tc>
        <w:tc>
          <w:tcPr>
            <w:tcW w:w="261" w:type="dxa"/>
            <w:tcBorders/>
            <w:vAlign w:val="center"/>
          </w:tcPr>
          <w:p>
            <w:pPr>
              <w:pStyle w:val="TableContents"/>
              <w:bidi w:val="0"/>
              <w:spacing w:before="0" w:after="283"/>
              <w:jc w:val="right"/>
              <w:rPr/>
            </w:pPr>
            <w:hyperlink w:anchor="notes">
              <w:r>
                <w:rPr>
                  <w:rStyle w:val="InternetLink"/>
                </w:rPr>
                <w:t>6</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hyperlink w:anchor="item_2">
              <w:r>
                <w:rPr>
                  <w:rStyle w:val="InternetLink"/>
                  <w:b/>
                </w:rPr>
                <w:t>Item</w:t>
              </w:r>
            </w:hyperlink>
            <w:hyperlink w:anchor="item_2">
              <w:r>
                <w:rPr>
                  <w:rStyle w:val="InternetLink"/>
                </w:rPr>
                <w:t> </w:t>
              </w:r>
            </w:hyperlink>
            <w:hyperlink w:anchor="item_2">
              <w:r>
                <w:rPr>
                  <w:rStyle w:val="InternetLink"/>
                  <w:b/>
                </w:rPr>
                <w:t>2.</w:t>
              </w:r>
            </w:hyperlink>
          </w:p>
        </w:tc>
        <w:tc>
          <w:tcPr>
            <w:tcW w:w="8355" w:type="dxa"/>
            <w:tcBorders/>
            <w:vAlign w:val="center"/>
          </w:tcPr>
          <w:p>
            <w:pPr>
              <w:pStyle w:val="TableContents"/>
              <w:bidi w:val="0"/>
              <w:spacing w:before="0" w:after="283"/>
              <w:jc w:val="left"/>
              <w:rPr/>
            </w:pPr>
            <w:hyperlink w:anchor="item_2">
              <w:r>
                <w:rPr>
                  <w:rStyle w:val="InternetLink"/>
                  <w:b/>
                </w:rPr>
                <w:t>Management’s Discussion and Analysis of Financial Condition and Results of Operations</w:t>
              </w:r>
            </w:hyperlink>
          </w:p>
        </w:tc>
        <w:tc>
          <w:tcPr>
            <w:tcW w:w="261" w:type="dxa"/>
            <w:tcBorders/>
            <w:vAlign w:val="center"/>
          </w:tcPr>
          <w:p>
            <w:pPr>
              <w:pStyle w:val="TableContents"/>
              <w:bidi w:val="0"/>
              <w:spacing w:before="0" w:after="283"/>
              <w:jc w:val="right"/>
              <w:rPr/>
            </w:pPr>
            <w:hyperlink w:anchor="item_2">
              <w:r>
                <w:rPr>
                  <w:rStyle w:val="InternetLink"/>
                </w:rPr>
                <w:t>19</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hyperlink w:anchor="item_4">
              <w:r>
                <w:rPr>
                  <w:rStyle w:val="InternetLink"/>
                  <w:b/>
                </w:rPr>
                <w:t>Item</w:t>
              </w:r>
            </w:hyperlink>
            <w:hyperlink w:anchor="item_4">
              <w:r>
                <w:rPr>
                  <w:rStyle w:val="InternetLink"/>
                </w:rPr>
                <w:t> </w:t>
              </w:r>
            </w:hyperlink>
            <w:hyperlink w:anchor="item_4">
              <w:r>
                <w:rPr>
                  <w:rStyle w:val="InternetLink"/>
                  <w:b/>
                </w:rPr>
                <w:t>4.</w:t>
              </w:r>
            </w:hyperlink>
          </w:p>
        </w:tc>
        <w:tc>
          <w:tcPr>
            <w:tcW w:w="8355" w:type="dxa"/>
            <w:tcBorders/>
            <w:vAlign w:val="center"/>
          </w:tcPr>
          <w:p>
            <w:pPr>
              <w:pStyle w:val="TableContents"/>
              <w:bidi w:val="0"/>
              <w:spacing w:before="0" w:after="283"/>
              <w:jc w:val="left"/>
              <w:rPr/>
            </w:pPr>
            <w:hyperlink w:anchor="item_4">
              <w:r>
                <w:rPr>
                  <w:rStyle w:val="InternetLink"/>
                  <w:b/>
                </w:rPr>
                <w:t>Controls and Procedures</w:t>
              </w:r>
            </w:hyperlink>
          </w:p>
        </w:tc>
        <w:tc>
          <w:tcPr>
            <w:tcW w:w="261" w:type="dxa"/>
            <w:tcBorders/>
            <w:vAlign w:val="center"/>
          </w:tcPr>
          <w:p>
            <w:pPr>
              <w:pStyle w:val="TableContents"/>
              <w:bidi w:val="0"/>
              <w:spacing w:before="0" w:after="283"/>
              <w:jc w:val="right"/>
              <w:rPr/>
            </w:pPr>
            <w:hyperlink w:anchor="item_4">
              <w:r>
                <w:rPr>
                  <w:rStyle w:val="InternetLink"/>
                </w:rPr>
                <w:t>32</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b/>
              </w:rPr>
            </w:pPr>
            <w:r>
              <w:rPr>
                <w:b/>
              </w:rPr>
              <w:t>PART II.</w:t>
            </w:r>
          </w:p>
        </w:tc>
        <w:tc>
          <w:tcPr>
            <w:tcW w:w="9058" w:type="dxa"/>
            <w:gridSpan w:val="2"/>
            <w:tcBorders/>
            <w:vAlign w:val="center"/>
          </w:tcPr>
          <w:p>
            <w:pPr>
              <w:pStyle w:val="TableContents"/>
              <w:bidi w:val="0"/>
              <w:spacing w:before="0" w:after="283"/>
              <w:jc w:val="left"/>
              <w:rPr/>
            </w:pPr>
            <w:hyperlink w:anchor="Other_info">
              <w:r>
                <w:rPr>
                  <w:rStyle w:val="InternetLink"/>
                  <w:b/>
                </w:rPr>
                <w:t>OTHER INFORMATION</w:t>
              </w:r>
            </w:hyperlink>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hyperlink w:anchor="exhibits">
              <w:r>
                <w:rPr>
                  <w:rStyle w:val="InternetLink"/>
                  <w:b/>
                </w:rPr>
                <w:t>Item</w:t>
              </w:r>
            </w:hyperlink>
            <w:hyperlink w:anchor="exhibits">
              <w:r>
                <w:rPr>
                  <w:rStyle w:val="InternetLink"/>
                </w:rPr>
                <w:t> </w:t>
              </w:r>
            </w:hyperlink>
            <w:hyperlink w:anchor="exhibits">
              <w:r>
                <w:rPr>
                  <w:rStyle w:val="InternetLink"/>
                  <w:b/>
                </w:rPr>
                <w:t>6.</w:t>
              </w:r>
            </w:hyperlink>
          </w:p>
        </w:tc>
        <w:tc>
          <w:tcPr>
            <w:tcW w:w="8355" w:type="dxa"/>
            <w:tcBorders/>
            <w:vAlign w:val="center"/>
          </w:tcPr>
          <w:p>
            <w:pPr>
              <w:pStyle w:val="TableContents"/>
              <w:bidi w:val="0"/>
              <w:spacing w:before="0" w:after="283"/>
              <w:jc w:val="left"/>
              <w:rPr/>
            </w:pPr>
            <w:hyperlink w:anchor="exhibits">
              <w:r>
                <w:rPr>
                  <w:rStyle w:val="InternetLink"/>
                  <w:b/>
                </w:rPr>
                <w:t>Exhibits</w:t>
              </w:r>
            </w:hyperlink>
          </w:p>
        </w:tc>
        <w:tc>
          <w:tcPr>
            <w:tcW w:w="261" w:type="dxa"/>
            <w:tcBorders/>
            <w:vAlign w:val="center"/>
          </w:tcPr>
          <w:p>
            <w:pPr>
              <w:pStyle w:val="TableContents"/>
              <w:bidi w:val="0"/>
              <w:spacing w:before="0" w:after="283"/>
              <w:jc w:val="right"/>
              <w:rPr/>
            </w:pPr>
            <w:hyperlink w:anchor="exhibits">
              <w:r>
                <w:rPr>
                  <w:rStyle w:val="InternetLink"/>
                </w:rPr>
                <w:t>33</w:t>
              </w:r>
            </w:hyperlink>
          </w:p>
        </w:tc>
      </w:tr>
      <w:tr>
        <w:trPr/>
        <w:tc>
          <w:tcPr>
            <w:tcW w:w="886" w:type="dxa"/>
            <w:tcBorders/>
            <w:vAlign w:val="center"/>
          </w:tcPr>
          <w:p>
            <w:pPr>
              <w:pStyle w:val="TableContents"/>
              <w:bidi w:val="0"/>
              <w:spacing w:before="0" w:after="283"/>
              <w:jc w:val="left"/>
              <w:rPr/>
            </w:pPr>
            <w:r>
              <w:rPr/>
              <w:t> </w:t>
            </w:r>
          </w:p>
        </w:tc>
        <w:tc>
          <w:tcPr>
            <w:tcW w:w="703" w:type="dxa"/>
            <w:tcBorders/>
            <w:vAlign w:val="center"/>
          </w:tcPr>
          <w:p>
            <w:pPr>
              <w:pStyle w:val="TableContents"/>
              <w:bidi w:val="0"/>
              <w:spacing w:before="0" w:after="283"/>
              <w:jc w:val="left"/>
              <w:rPr/>
            </w:pPr>
            <w:r>
              <w:rPr/>
              <w:t> </w:t>
            </w:r>
          </w:p>
        </w:tc>
        <w:tc>
          <w:tcPr>
            <w:tcW w:w="8355" w:type="dxa"/>
            <w:tcBorders/>
            <w:vAlign w:val="center"/>
          </w:tcPr>
          <w:p>
            <w:pPr>
              <w:pStyle w:val="TableContents"/>
              <w:bidi w:val="0"/>
              <w:spacing w:before="0" w:after="283"/>
              <w:jc w:val="left"/>
              <w:rPr/>
            </w:pPr>
            <w:r>
              <w:rPr/>
              <w:t> </w:t>
            </w:r>
          </w:p>
        </w:tc>
        <w:tc>
          <w:tcPr>
            <w:tcW w:w="261" w:type="dxa"/>
            <w:tcBorders/>
            <w:vAlign w:val="center"/>
          </w:tcPr>
          <w:p>
            <w:pPr>
              <w:pStyle w:val="TableContents"/>
              <w:bidi w:val="0"/>
              <w:spacing w:before="0" w:after="283"/>
              <w:jc w:val="left"/>
              <w:rPr/>
            </w:pPr>
            <w:r>
              <w:rPr/>
              <w:t> </w:t>
            </w:r>
          </w:p>
        </w:tc>
      </w:tr>
      <w:tr>
        <w:trPr/>
        <w:tc>
          <w:tcPr>
            <w:tcW w:w="9944" w:type="dxa"/>
            <w:gridSpan w:val="3"/>
            <w:tcBorders/>
            <w:vAlign w:val="center"/>
          </w:tcPr>
          <w:p>
            <w:pPr>
              <w:pStyle w:val="TableContents"/>
              <w:bidi w:val="0"/>
              <w:spacing w:before="0" w:after="283"/>
              <w:jc w:val="left"/>
              <w:rPr/>
            </w:pPr>
            <w:hyperlink w:anchor="signatures">
              <w:r>
                <w:rPr>
                  <w:rStyle w:val="InternetLink"/>
                  <w:b/>
                </w:rPr>
                <w:t>SIGNATURES</w:t>
              </w:r>
            </w:hyperlink>
          </w:p>
        </w:tc>
        <w:tc>
          <w:tcPr>
            <w:tcW w:w="261" w:type="dxa"/>
            <w:tcBorders/>
            <w:vAlign w:val="center"/>
          </w:tcPr>
          <w:p>
            <w:pPr>
              <w:pStyle w:val="TableContents"/>
              <w:bidi w:val="0"/>
              <w:spacing w:before="0" w:after="283"/>
              <w:jc w:val="right"/>
              <w:rPr/>
            </w:pPr>
            <w:hyperlink w:anchor="signatures">
              <w:r>
                <w:rPr>
                  <w:rStyle w:val="InternetLink"/>
                </w:rPr>
                <w:t>38</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bookmarkStart w:id="3" w:name="part1_financial"/>
      <w:bookmarkEnd w:id="3"/>
      <w:r>
        <w:rPr>
          <w:rFonts w:ascii="Times New Roman" w:hAnsi="Times New Roman"/>
          <w:b/>
          <w:sz w:val="20"/>
        </w:rPr>
        <w:t>PART I.</w:t>
      </w:r>
      <w:r>
        <w:rPr>
          <w:rFonts w:ascii="Times New Roman" w:hAnsi="Times New Roman"/>
          <w:sz w:val="20"/>
        </w:rPr>
        <w:t>  </w:t>
      </w:r>
      <w:r>
        <w:rPr>
          <w:rFonts w:ascii="Times New Roman" w:hAnsi="Times New Roman"/>
          <w:b/>
          <w:sz w:val="20"/>
        </w:rPr>
        <w:t>FINANCIAL INFORMATION</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sz w:val="20"/>
        </w:rPr>
      </w:pPr>
      <w:bookmarkStart w:id="4" w:name="item1_financial"/>
      <w:bookmarkEnd w:id="4"/>
      <w:r>
        <w:rPr>
          <w:rFonts w:ascii="Times New Roman" w:hAnsi="Times New Roman"/>
          <w:sz w:val="20"/>
        </w:rPr>
        <w:t>Item 1.  Financial Statements</w:t>
      </w:r>
    </w:p>
    <w:p>
      <w:pPr>
        <w:pStyle w:val="TextBody"/>
        <w:bidi w:val="0"/>
        <w:spacing w:before="0" w:after="0"/>
        <w:ind w:left="0" w:right="0" w:hanging="0"/>
        <w:jc w:val="center"/>
        <w:rPr>
          <w:rFonts w:ascii="Times New Roman" w:hAnsi="Times New Roman"/>
          <w:b/>
          <w:sz w:val="20"/>
        </w:rPr>
      </w:pPr>
      <w:bookmarkStart w:id="5" w:name="balance_sheets"/>
      <w:bookmarkEnd w:id="5"/>
      <w:r>
        <w:rPr>
          <w:rFonts w:ascii="Times New Roman" w:hAnsi="Times New Roman"/>
          <w:b/>
          <w:sz w:val="20"/>
        </w:rPr>
        <w:t>OPTICAL CABLE CORPORATION</w:t>
      </w:r>
    </w:p>
    <w:p>
      <w:pPr>
        <w:pStyle w:val="TextBody"/>
        <w:bidi w:val="0"/>
        <w:spacing w:before="0" w:after="0"/>
        <w:ind w:left="0" w:right="0" w:hanging="0"/>
        <w:jc w:val="center"/>
        <w:rPr>
          <w:rFonts w:ascii="Times New Roman" w:hAnsi="Times New Roman"/>
          <w:sz w:val="20"/>
        </w:rPr>
      </w:pPr>
      <w:r>
        <w:rPr>
          <w:rFonts w:ascii="Times New Roman" w:hAnsi="Times New Roman"/>
          <w:sz w:val="20"/>
        </w:rPr>
        <w:t>Condensed Consolidated Balance Sheets</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795"/>
        <w:gridCol w:w="60"/>
        <w:gridCol w:w="125"/>
        <w:gridCol w:w="950"/>
        <w:gridCol w:w="80"/>
        <w:gridCol w:w="60"/>
        <w:gridCol w:w="125"/>
        <w:gridCol w:w="950"/>
        <w:gridCol w:w="60"/>
      </w:tblGrid>
      <w:tr>
        <w:trPr/>
        <w:tc>
          <w:tcPr>
            <w:tcW w:w="7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October 31, </w:t>
            </w:r>
          </w:p>
        </w:tc>
        <w:tc>
          <w:tcPr>
            <w:tcW w:w="60" w:type="dxa"/>
            <w:tcBorders/>
            <w:vAlign w:val="center"/>
          </w:tcPr>
          <w:p>
            <w:pPr>
              <w:pStyle w:val="TableContents"/>
              <w:bidi w:val="0"/>
              <w:spacing w:before="0" w:after="283"/>
              <w:jc w:val="left"/>
              <w:rPr/>
            </w:pPr>
            <w:r>
              <w:rPr/>
              <w:t> </w:t>
            </w:r>
          </w:p>
        </w:tc>
      </w:tr>
      <w:tr>
        <w:trPr/>
        <w:tc>
          <w:tcPr>
            <w:tcW w:w="77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237,508</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 net of allowance for credit losses of $84,549 at July 31, 2026 and $72,909 at October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11,842,621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10,280,616</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refundable - current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19,863</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22,938,467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19,801,754</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450,002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402,542</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35,569,097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30,755,783</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and equipment,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6,613,711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6,589,517</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467,739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481,225</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2,204,000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2,233,256</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44,854,547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40,059,781</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8930" w:type="dxa"/>
            <w:gridSpan w:val="4"/>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Redeemable Restricted Common Stock</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and</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66,949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2,570,793</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Note payable, revolver - current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6,329,173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5,624,816</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7,312,352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6,848,785</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payroll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2,666,595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1,784,207</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24,688</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16,408,881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16,853,289</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 excluding current installments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2,572,866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1,602,230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1,632,587</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20,583,977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18,485,876</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Redeemable restricted common stock, no par value, 642,199 shares issued and outstanding as of July 31, 2026 and October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9,543,077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5,066,950</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no par value, authorized 1,000,000 shares; none issued and outstanding</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no par value, authorized 50,000,000 shares; issued and outstanding 8,199,825 shares at July 31, 2026 and 8,227,871 shares at October 31,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15,925,002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15,743,742</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 (accumulated deficit)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(1,197,509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763,213</w:t>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0"/>
              <w:ind w:left="12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14,727,493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16,506,955</w:t>
            </w:r>
          </w:p>
        </w:tc>
        <w:tc>
          <w:tcPr>
            <w:tcW w:w="60" w:type="dxa"/>
            <w:tcBorders/>
            <w:shd w:fill="FFFFFF" w:val="clear"/>
            <w:vAlign w:val="center"/>
          </w:tcPr>
          <w:p>
            <w:pPr>
              <w:pStyle w:val="TableContents"/>
              <w:bidi w:val="0"/>
              <w:spacing w:before="0" w:after="283"/>
              <w:jc w:val="left"/>
              <w:rPr/>
            </w:pPr>
            <w:r>
              <w:rPr/>
              <w:t> </w:t>
            </w:r>
          </w:p>
        </w:tc>
      </w:tr>
      <w:tr>
        <w:trPr/>
        <w:tc>
          <w:tcPr>
            <w:tcW w:w="77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Commitments and contingencies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r>
      <w:tr>
        <w:trPr/>
        <w:tc>
          <w:tcPr>
            <w:tcW w:w="77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Total liabilities, redeemable restricted common stock and shareholders' equity</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44,854,547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40,059,781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accompanying condensed notes to condensed consolidated financial statements.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bookmarkStart w:id="6" w:name="operations"/>
      <w:bookmarkEnd w:id="6"/>
      <w:r>
        <w:rPr>
          <w:rFonts w:ascii="Times New Roman" w:hAnsi="Times New Roman"/>
          <w:b/>
          <w:sz w:val="20"/>
        </w:rPr>
        <w:t>OPTICAL CABLE CORPORATION</w:t>
      </w:r>
    </w:p>
    <w:p>
      <w:pPr>
        <w:pStyle w:val="TextBody"/>
        <w:bidi w:val="0"/>
        <w:spacing w:before="0" w:after="0"/>
        <w:ind w:left="0" w:right="0" w:hanging="0"/>
        <w:jc w:val="center"/>
        <w:rPr>
          <w:rFonts w:ascii="Times New Roman" w:hAnsi="Times New Roman"/>
          <w:sz w:val="20"/>
        </w:rPr>
      </w:pPr>
      <w:r>
        <w:rPr>
          <w:rFonts w:ascii="Times New Roman" w:hAnsi="Times New Roman"/>
          <w:sz w:val="20"/>
        </w:rPr>
        <w:t>Condensed Consolidated Statements of Operations</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left"/>
        <w:rPr/>
      </w:pPr>
      <w:r>
        <w:rPr/>
        <w:t> </w:t>
      </w:r>
    </w:p>
    <w:tbl>
      <w:tblPr>
        <w:tblW w:w="8555" w:type="dxa"/>
        <w:jc w:val="left"/>
        <w:tblInd w:w="0" w:type="dxa"/>
        <w:tblLayout w:type="fixed"/>
        <w:tblCellMar>
          <w:top w:w="0" w:type="dxa"/>
          <w:left w:w="0" w:type="dxa"/>
          <w:bottom w:w="0" w:type="dxa"/>
          <w:right w:w="0" w:type="dxa"/>
        </w:tblCellMar>
      </w:tblPr>
      <w:tblGrid>
        <w:gridCol w:w="3695"/>
        <w:gridCol w:w="60"/>
        <w:gridCol w:w="125"/>
        <w:gridCol w:w="950"/>
        <w:gridCol w:w="80"/>
        <w:gridCol w:w="60"/>
        <w:gridCol w:w="125"/>
        <w:gridCol w:w="950"/>
        <w:gridCol w:w="80"/>
        <w:gridCol w:w="60"/>
        <w:gridCol w:w="125"/>
        <w:gridCol w:w="950"/>
        <w:gridCol w:w="80"/>
        <w:gridCol w:w="60"/>
        <w:gridCol w:w="125"/>
        <w:gridCol w:w="950"/>
        <w:gridCol w:w="80"/>
      </w:tblGrid>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80" w:type="dxa"/>
            <w:tcBorders/>
            <w:vAlign w:val="center"/>
          </w:tcPr>
          <w:p>
            <w:pPr>
              <w:pStyle w:val="TableContents"/>
              <w:bidi w:val="0"/>
              <w:spacing w:before="0" w:after="283"/>
              <w:jc w:val="left"/>
              <w:rPr/>
            </w:pPr>
            <w:r>
              <w:rPr/>
              <w:t> </w:t>
            </w:r>
          </w:p>
        </w:tc>
      </w:tr>
      <w:tr>
        <w:trPr/>
        <w:tc>
          <w:tcPr>
            <w:tcW w:w="36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24,297,022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19,916,919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62,941,623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53,209,284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15,202,314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13,597,608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40,882,703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36,928,838</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9,094,708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6,319,311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22,058,920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16,280,446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6,962,706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5,736,667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18,790,608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16,939,181</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Royalty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19,714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40,631</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2,111,632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562,474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3,207,203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(719,080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69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(692,205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(772,559</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19,485</w:t>
            </w:r>
          </w:p>
        </w:tc>
        <w:tc>
          <w:tcPr>
            <w:tcW w:w="80" w:type="dxa"/>
            <w:tcBorders/>
            <w:shd w:fill="FFFFFF" w:val="clear"/>
            <w:vAlign w:val="center"/>
          </w:tcPr>
          <w:p>
            <w:pPr>
              <w:pStyle w:val="TableContents"/>
              <w:bidi w:val="0"/>
              <w:spacing w:before="0" w:after="283"/>
              <w:jc w:val="left"/>
              <w:rPr/>
            </w:pPr>
            <w:r>
              <w:rPr/>
              <w:t> </w:t>
            </w:r>
          </w:p>
        </w:tc>
      </w:tr>
      <w:tr>
        <w:trPr/>
        <w:tc>
          <w:tcPr>
            <w:tcW w:w="3695"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(244,952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(700,303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(753,074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1,866,680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2,506,900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(1,472,154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31,313</w:t>
            </w:r>
          </w:p>
        </w:tc>
        <w:tc>
          <w:tcPr>
            <w:tcW w:w="80" w:type="dxa"/>
            <w:tcBorders/>
            <w:shd w:fill="CCEEFF" w:val="clear"/>
            <w:vAlign w:val="center"/>
          </w:tcPr>
          <w:p>
            <w:pPr>
              <w:pStyle w:val="TableContents"/>
              <w:bidi w:val="0"/>
              <w:spacing w:before="0" w:after="283"/>
              <w:jc w:val="left"/>
              <w:rPr/>
            </w:pPr>
            <w:r>
              <w:rPr/>
              <w:t> </w:t>
            </w:r>
          </w:p>
        </w:tc>
      </w:tr>
      <w:tr>
        <w:trPr/>
        <w:tc>
          <w:tcPr>
            <w:tcW w:w="3695"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(1,503,467</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basic and 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See accompanying condensed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bookmarkStart w:id="7" w:name="equity"/>
      <w:bookmarkEnd w:id="7"/>
      <w:r>
        <w:rPr>
          <w:rFonts w:ascii="Times New Roman" w:hAnsi="Times New Roman"/>
          <w:b/>
          <w:sz w:val="20"/>
        </w:rPr>
        <w:t>OPTICAL CABLE CORPORATION</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Condensed Consolidated Statements of Shareholders’ Equity</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290"/>
        <w:gridCol w:w="60"/>
        <w:gridCol w:w="60"/>
        <w:gridCol w:w="845"/>
        <w:gridCol w:w="80"/>
        <w:gridCol w:w="60"/>
        <w:gridCol w:w="125"/>
        <w:gridCol w:w="950"/>
        <w:gridCol w:w="80"/>
        <w:gridCol w:w="60"/>
        <w:gridCol w:w="144"/>
        <w:gridCol w:w="1046"/>
        <w:gridCol w:w="80"/>
        <w:gridCol w:w="60"/>
        <w:gridCol w:w="137"/>
        <w:gridCol w:w="1047"/>
        <w:gridCol w:w="81"/>
      </w:tblGrid>
      <w:tr>
        <w:trPr/>
        <w:tc>
          <w:tcPr>
            <w:tcW w:w="5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774"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July 31, 2026</w:t>
            </w:r>
          </w:p>
        </w:tc>
        <w:tc>
          <w:tcPr>
            <w:tcW w:w="81"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9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Retained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47" w:type="dxa"/>
            <w:tcBorders/>
            <w:vAlign w:val="center"/>
          </w:tcPr>
          <w:p>
            <w:pPr>
              <w:pStyle w:val="TableContents"/>
              <w:bidi w:val="0"/>
              <w:spacing w:before="0" w:after="283"/>
              <w:jc w:val="center"/>
              <w:rPr/>
            </w:pPr>
            <w:r>
              <w:rPr/>
              <w:t> </w:t>
            </w:r>
          </w:p>
        </w:tc>
        <w:tc>
          <w:tcPr>
            <w:tcW w:w="81"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Total </w:t>
            </w:r>
          </w:p>
        </w:tc>
        <w:tc>
          <w:tcPr>
            <w:tcW w:w="81"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Shareholders'</w:t>
            </w:r>
          </w:p>
        </w:tc>
        <w:tc>
          <w:tcPr>
            <w:tcW w:w="81" w:type="dxa"/>
            <w:tcBorders/>
            <w:vAlign w:val="center"/>
          </w:tcPr>
          <w:p>
            <w:pPr>
              <w:pStyle w:val="TableContents"/>
              <w:bidi w:val="0"/>
              <w:spacing w:before="0" w:after="283"/>
              <w:jc w:val="left"/>
              <w:rPr/>
            </w:pPr>
            <w:r>
              <w:rPr/>
              <w:t> </w:t>
            </w:r>
          </w:p>
        </w:tc>
      </w:tr>
      <w:tr>
        <w:trPr/>
        <w:tc>
          <w:tcPr>
            <w:tcW w:w="52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Deficit)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8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Equity</w:t>
            </w:r>
          </w:p>
        </w:tc>
        <w:tc>
          <w:tcPr>
            <w:tcW w:w="81" w:type="dxa"/>
            <w:tcBorders/>
            <w:vAlign w:val="center"/>
          </w:tcPr>
          <w:p>
            <w:pPr>
              <w:pStyle w:val="TableContents"/>
              <w:bidi w:val="0"/>
              <w:spacing w:before="0" w:after="283"/>
              <w:ind w:left="0" w:right="0" w:hanging="0"/>
              <w:jc w:val="left"/>
              <w:rPr/>
            </w:pPr>
            <w:r>
              <w:rPr/>
              <w:t> </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October 31, 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8,227,871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15,743,742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763,213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16,506,955</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(38,472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(67,748</w:t>
            </w:r>
          </w:p>
        </w:tc>
        <w:tc>
          <w:tcPr>
            <w:tcW w:w="8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aggregate redemption value of redeemable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2,087,147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2,087,147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(397,529</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January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8,189,399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15,675,994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2,452,831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18,128,825</w:t>
            </w:r>
          </w:p>
        </w:tc>
        <w:tc>
          <w:tcPr>
            <w:tcW w:w="81"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9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jc w:val="left"/>
              <w:rPr/>
            </w:pPr>
            <w:r>
              <w:rPr/>
              <w:t> </w:t>
            </w:r>
          </w:p>
        </w:tc>
        <w:tc>
          <w:tcPr>
            <w:tcW w:w="104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jc w:val="left"/>
              <w:rPr/>
            </w:pPr>
            <w:r>
              <w:rPr/>
              <w:t> </w:t>
            </w:r>
          </w:p>
        </w:tc>
        <w:tc>
          <w:tcPr>
            <w:tcW w:w="1047" w:type="dxa"/>
            <w:tcBorders/>
            <w:shd w:fill="FFFFFF" w:val="clear"/>
            <w:vAlign w:val="center"/>
          </w:tcPr>
          <w:p>
            <w:pPr>
              <w:pStyle w:val="TableContents"/>
              <w:bidi w:val="0"/>
              <w:spacing w:before="0" w:after="283"/>
              <w:jc w:val="left"/>
              <w:rPr/>
            </w:pPr>
            <w:r>
              <w:rPr/>
              <w:t> </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net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73,670</w:t>
            </w:r>
          </w:p>
        </w:tc>
        <w:tc>
          <w:tcPr>
            <w:tcW w:w="81" w:type="dxa"/>
            <w:tcBorders/>
            <w:shd w:fill="CCEEFF" w:val="clear"/>
            <w:vAlign w:val="center"/>
          </w:tcPr>
          <w:p>
            <w:pPr>
              <w:pStyle w:val="TableContents"/>
              <w:bidi w:val="0"/>
              <w:spacing w:before="0" w:after="283"/>
              <w:jc w:val="left"/>
              <w:rPr/>
            </w:pPr>
            <w:r>
              <w:rPr/>
              <w:t> </w:t>
            </w:r>
          </w:p>
        </w:tc>
      </w:tr>
      <w:tr>
        <w:trPr/>
        <w:tc>
          <w:tcPr>
            <w:tcW w:w="5290"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aggregate redemption value of redeemable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(4,033,010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(4,033,010</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1,054,817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1,054,817</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April 30, 2026</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8,189,399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15,749,664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(525,362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15,224,302</w:t>
            </w:r>
          </w:p>
        </w:tc>
        <w:tc>
          <w:tcPr>
            <w:tcW w:w="81"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jc w:val="left"/>
              <w:rPr/>
            </w:pPr>
            <w:r>
              <w:rPr/>
              <w:t> </w:t>
            </w:r>
          </w:p>
        </w:tc>
        <w:tc>
          <w:tcPr>
            <w:tcW w:w="104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7"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shd w:fill="FFFFFF" w:val="clear"/>
            <w:vAlign w:val="center"/>
          </w:tcPr>
          <w:p>
            <w:pPr>
              <w:pStyle w:val="TableContents"/>
              <w:bidi w:val="0"/>
              <w:spacing w:before="0" w:after="283"/>
              <w:ind w:left="0" w:right="0" w:hanging="0"/>
              <w:jc w:val="left"/>
              <w:rPr/>
            </w:pPr>
            <w:r>
              <w:rPr/>
              <w:t> </w:t>
            </w:r>
          </w:p>
        </w:tc>
        <w:tc>
          <w:tcPr>
            <w:tcW w:w="1046"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175,338</w:t>
            </w:r>
          </w:p>
        </w:tc>
        <w:tc>
          <w:tcPr>
            <w:tcW w:w="81" w:type="dxa"/>
            <w:tcBorders/>
            <w:shd w:fill="FFFFFF" w:val="clear"/>
            <w:vAlign w:val="center"/>
          </w:tcPr>
          <w:p>
            <w:pPr>
              <w:pStyle w:val="TableContents"/>
              <w:bidi w:val="0"/>
              <w:spacing w:before="0" w:after="283"/>
              <w:jc w:val="left"/>
              <w:rPr/>
            </w:pPr>
            <w:r>
              <w:rPr/>
              <w:t> </w:t>
            </w:r>
          </w:p>
        </w:tc>
      </w:tr>
      <w:tr>
        <w:trPr/>
        <w:tc>
          <w:tcPr>
            <w:tcW w:w="529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aggregate redemption value of redeemable restricted common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4" w:type="dxa"/>
            <w:tcBorders/>
            <w:shd w:fill="CCEEFF" w:val="clear"/>
            <w:vAlign w:val="center"/>
          </w:tcPr>
          <w:p>
            <w:pPr>
              <w:pStyle w:val="TableContents"/>
              <w:bidi w:val="0"/>
              <w:spacing w:before="0" w:after="283"/>
              <w:ind w:left="0" w:right="0" w:hanging="0"/>
              <w:jc w:val="left"/>
              <w:rPr/>
            </w:pPr>
            <w:r>
              <w:rPr/>
              <w:t> </w:t>
            </w:r>
          </w:p>
        </w:tc>
        <w:tc>
          <w:tcPr>
            <w:tcW w:w="104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(2,530,264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(2,530,264</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2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1,858,117</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52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July 31, 2026</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8,199,825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15,925,002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(1,197,509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14,727,493</w:t>
            </w:r>
          </w:p>
        </w:tc>
        <w:tc>
          <w:tcPr>
            <w:tcW w:w="81"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468"/>
        <w:gridCol w:w="60"/>
        <w:gridCol w:w="60"/>
        <w:gridCol w:w="845"/>
        <w:gridCol w:w="80"/>
        <w:gridCol w:w="60"/>
        <w:gridCol w:w="125"/>
        <w:gridCol w:w="950"/>
        <w:gridCol w:w="60"/>
        <w:gridCol w:w="60"/>
        <w:gridCol w:w="125"/>
        <w:gridCol w:w="905"/>
        <w:gridCol w:w="80"/>
        <w:gridCol w:w="60"/>
        <w:gridCol w:w="137"/>
        <w:gridCol w:w="1049"/>
        <w:gridCol w:w="81"/>
      </w:tblGrid>
      <w:tr>
        <w:trPr/>
        <w:tc>
          <w:tcPr>
            <w:tcW w:w="5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96"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 July 31, 2025</w:t>
            </w:r>
          </w:p>
        </w:tc>
        <w:tc>
          <w:tcPr>
            <w:tcW w:w="81" w:type="dxa"/>
            <w:tcBorders/>
            <w:vAlign w:val="center"/>
          </w:tcPr>
          <w:p>
            <w:pPr>
              <w:pStyle w:val="TableContents"/>
              <w:bidi w:val="0"/>
              <w:spacing w:before="0" w:after="283"/>
              <w:jc w:val="left"/>
              <w:rPr/>
            </w:pPr>
            <w:r>
              <w:rPr/>
              <w:t> </w:t>
            </w:r>
          </w:p>
        </w:tc>
      </w:tr>
      <w:tr>
        <w:trPr/>
        <w:tc>
          <w:tcPr>
            <w:tcW w:w="5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81" w:type="dxa"/>
            <w:tcBorders/>
            <w:vAlign w:val="center"/>
          </w:tcPr>
          <w:p>
            <w:pPr>
              <w:pStyle w:val="TableContents"/>
              <w:bidi w:val="0"/>
              <w:spacing w:before="0" w:after="283"/>
              <w:jc w:val="left"/>
              <w:rPr/>
            </w:pPr>
            <w:r>
              <w:rPr/>
              <w:t> </w:t>
            </w:r>
          </w:p>
        </w:tc>
      </w:tr>
      <w:tr>
        <w:trPr/>
        <w:tc>
          <w:tcPr>
            <w:tcW w:w="5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Common Stock</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6"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Shareholders’</w:t>
            </w:r>
          </w:p>
        </w:tc>
        <w:tc>
          <w:tcPr>
            <w:tcW w:w="81" w:type="dxa"/>
            <w:tcBorders/>
            <w:vAlign w:val="center"/>
          </w:tcPr>
          <w:p>
            <w:pPr>
              <w:pStyle w:val="TableContents"/>
              <w:bidi w:val="0"/>
              <w:spacing w:before="0" w:after="283"/>
              <w:jc w:val="left"/>
              <w:rPr/>
            </w:pPr>
            <w:r>
              <w:rPr/>
              <w:t> </w:t>
            </w:r>
          </w:p>
        </w:tc>
      </w:tr>
      <w:tr>
        <w:trPr/>
        <w:tc>
          <w:tcPr>
            <w:tcW w:w="546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Earnings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Equity</w:t>
            </w:r>
          </w:p>
        </w:tc>
        <w:tc>
          <w:tcPr>
            <w:tcW w:w="81" w:type="dxa"/>
            <w:tcBorders/>
            <w:vAlign w:val="center"/>
          </w:tcPr>
          <w:p>
            <w:pPr>
              <w:pStyle w:val="TableContents"/>
              <w:bidi w:val="0"/>
              <w:spacing w:before="0" w:after="283"/>
              <w:ind w:left="0" w:right="0" w:hanging="0"/>
              <w:jc w:val="left"/>
              <w:rPr/>
            </w:pPr>
            <w:r>
              <w:rPr/>
              <w:t> </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October 31, 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8,220,344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15,464,416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5,377,500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20,841,916</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5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7,051</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(1,107,431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(1,107,431</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January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8,198,577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15,471,467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4,270,069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19,741,536</w:t>
            </w:r>
          </w:p>
        </w:tc>
        <w:tc>
          <w:tcPr>
            <w:tcW w:w="81" w:type="dxa"/>
            <w:tcBorders/>
            <w:shd w:fill="FFFFFF" w:val="clear"/>
            <w:vAlign w:val="center"/>
          </w:tcPr>
          <w:p>
            <w:pPr>
              <w:pStyle w:val="TableContents"/>
              <w:bidi w:val="0"/>
              <w:spacing w:before="0" w:after="283"/>
              <w:jc w:val="left"/>
              <w:rPr/>
            </w:pPr>
            <w:r>
              <w:rPr/>
              <w:t> </w:t>
            </w:r>
          </w:p>
        </w:tc>
      </w:tr>
      <w:tr>
        <w:trPr/>
        <w:tc>
          <w:tcPr>
            <w:tcW w:w="54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5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71,934</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(697,922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(697,922</w:t>
            </w:r>
          </w:p>
        </w:tc>
        <w:tc>
          <w:tcPr>
            <w:tcW w:w="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April 30,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8,192,017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15,543,401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3,572,147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19,115,548</w:t>
            </w:r>
          </w:p>
        </w:tc>
        <w:tc>
          <w:tcPr>
            <w:tcW w:w="81" w:type="dxa"/>
            <w:tcBorders/>
            <w:shd w:fill="FFFFFF" w:val="clear"/>
            <w:vAlign w:val="center"/>
          </w:tcPr>
          <w:p>
            <w:pPr>
              <w:pStyle w:val="TableContents"/>
              <w:bidi w:val="0"/>
              <w:spacing w:before="0" w:after="283"/>
              <w:jc w:val="left"/>
              <w:rPr/>
            </w:pPr>
            <w:r>
              <w:rPr/>
              <w:t> </w:t>
            </w:r>
          </w:p>
        </w:tc>
      </w:tr>
      <w:tr>
        <w:trPr/>
        <w:tc>
          <w:tcPr>
            <w:tcW w:w="546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49" w:type="dxa"/>
            <w:tcBorders/>
            <w:shd w:fill="CCEEFF" w:val="clear"/>
            <w:vAlign w:val="center"/>
          </w:tcPr>
          <w:p>
            <w:pPr>
              <w:pStyle w:val="TableContents"/>
              <w:bidi w:val="0"/>
              <w:spacing w:before="0" w:after="283"/>
              <w:jc w:val="left"/>
              <w:rPr/>
            </w:pPr>
            <w:r>
              <w:rPr/>
              <w:t> </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5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net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36,228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107,101</w:t>
            </w:r>
          </w:p>
        </w:tc>
        <w:tc>
          <w:tcPr>
            <w:tcW w:w="81" w:type="dxa"/>
            <w:tcBorders/>
            <w:shd w:fill="FFFFFF" w:val="clear"/>
            <w:vAlign w:val="center"/>
          </w:tcPr>
          <w:p>
            <w:pPr>
              <w:pStyle w:val="TableContents"/>
              <w:bidi w:val="0"/>
              <w:spacing w:before="0" w:after="283"/>
              <w:ind w:left="0" w:right="0" w:hanging="0"/>
              <w:jc w:val="left"/>
              <w:rPr/>
            </w:pPr>
            <w:r>
              <w:rPr/>
              <w:t> </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costs of redeemable stock</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ind w:left="0" w:right="0" w:hanging="0"/>
              <w:jc w:val="left"/>
              <w:rPr/>
            </w:pPr>
            <w:r>
              <w:rPr/>
              <w:t> </w:t>
            </w:r>
          </w:p>
        </w:tc>
        <w:tc>
          <w:tcPr>
            <w:tcW w:w="10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(92,483</w:t>
            </w:r>
          </w:p>
        </w:tc>
        <w:tc>
          <w:tcPr>
            <w:tcW w:w="8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468" w:type="dxa"/>
            <w:tcBorders/>
            <w:shd w:fill="FFFF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 aggregate redemption value of redeemable restricted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(1,202,325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7" w:type="dxa"/>
            <w:tcBorders/>
            <w:shd w:fill="FFFFFF" w:val="clear"/>
            <w:vAlign w:val="center"/>
          </w:tcPr>
          <w:p>
            <w:pPr>
              <w:pStyle w:val="TableContents"/>
              <w:bidi w:val="0"/>
              <w:spacing w:before="0" w:after="283"/>
              <w:ind w:left="0" w:right="0" w:hanging="0"/>
              <w:jc w:val="left"/>
              <w:rPr/>
            </w:pPr>
            <w:r>
              <w:rPr/>
              <w:t> </w:t>
            </w:r>
          </w:p>
        </w:tc>
        <w:tc>
          <w:tcPr>
            <w:tcW w:w="10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(1,202,325</w:t>
            </w:r>
          </w:p>
        </w:tc>
        <w:tc>
          <w:tcPr>
            <w:tcW w:w="8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6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301,886</w:t>
            </w:r>
          </w:p>
        </w:tc>
        <w:tc>
          <w:tcPr>
            <w:tcW w:w="81" w:type="dxa"/>
            <w:tcBorders/>
            <w:shd w:fill="CCEEFF" w:val="clear"/>
            <w:vAlign w:val="center"/>
          </w:tcPr>
          <w:p>
            <w:pPr>
              <w:pStyle w:val="TableContents"/>
              <w:bidi w:val="0"/>
              <w:spacing w:before="0" w:after="283"/>
              <w:ind w:left="0" w:right="0" w:hanging="0"/>
              <w:jc w:val="left"/>
              <w:rPr/>
            </w:pPr>
            <w:r>
              <w:rPr/>
              <w:t> </w:t>
            </w:r>
          </w:p>
        </w:tc>
      </w:tr>
      <w:tr>
        <w:trPr/>
        <w:tc>
          <w:tcPr>
            <w:tcW w:w="546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Balances at July 31, 2025</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8,228,245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15,650,502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2,579,225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4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18,229,727</w:t>
            </w:r>
          </w:p>
        </w:tc>
        <w:tc>
          <w:tcPr>
            <w:tcW w:w="8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See accompanying condensed notes to condensed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sz w:val="20"/>
        </w:rPr>
      </w:pPr>
      <w:bookmarkStart w:id="8" w:name="cash_flows"/>
      <w:bookmarkEnd w:id="8"/>
      <w:r>
        <w:rPr>
          <w:rFonts w:ascii="Times New Roman" w:hAnsi="Times New Roman"/>
          <w:b/>
          <w:sz w:val="20"/>
        </w:rPr>
        <w:t>OPTICAL CABLE CORPORATION</w:t>
      </w:r>
    </w:p>
    <w:p>
      <w:pPr>
        <w:pStyle w:val="TextBody"/>
        <w:bidi w:val="0"/>
        <w:spacing w:before="0" w:after="0"/>
        <w:ind w:left="0" w:right="0" w:hanging="0"/>
        <w:jc w:val="center"/>
        <w:rPr>
          <w:rFonts w:ascii="Times New Roman" w:hAnsi="Times New Roman"/>
          <w:sz w:val="20"/>
        </w:rPr>
      </w:pPr>
      <w:r>
        <w:rPr>
          <w:rFonts w:ascii="Times New Roman" w:hAnsi="Times New Roman"/>
          <w:sz w:val="20"/>
        </w:rPr>
        <w:t>Condensed Consolidated Statements of Cash Flows</w:t>
      </w:r>
    </w:p>
    <w:p>
      <w:pPr>
        <w:pStyle w:val="TextBody"/>
        <w:bidi w:val="0"/>
        <w:spacing w:before="0" w:after="0"/>
        <w:ind w:left="0" w:right="0" w:hanging="0"/>
        <w:jc w:val="center"/>
        <w:rPr>
          <w:rFonts w:ascii="Times New Roman" w:hAnsi="Times New Roman"/>
          <w:sz w:val="20"/>
        </w:rPr>
      </w:pPr>
      <w:r>
        <w:rPr>
          <w:rFonts w:ascii="Times New Roman" w:hAnsi="Times New Roman"/>
          <w:sz w:val="20"/>
        </w:rPr>
        <w:t>(Unaudited)</w:t>
      </w:r>
    </w:p>
    <w:p>
      <w:pPr>
        <w:pStyle w:val="TextBody"/>
        <w:bidi w:val="0"/>
        <w:spacing w:before="0" w:after="0"/>
        <w:ind w:left="0" w:right="0" w:hanging="0"/>
        <w:jc w:val="left"/>
        <w:rPr/>
      </w:pPr>
      <w:r>
        <w:rPr/>
        <w:t> </w:t>
      </w:r>
    </w:p>
    <w:tbl>
      <w:tblPr>
        <w:tblW w:w="9650" w:type="dxa"/>
        <w:jc w:val="left"/>
        <w:tblInd w:w="0" w:type="dxa"/>
        <w:tblLayout w:type="fixed"/>
        <w:tblCellMar>
          <w:top w:w="0" w:type="dxa"/>
          <w:left w:w="0" w:type="dxa"/>
          <w:bottom w:w="0" w:type="dxa"/>
          <w:right w:w="0" w:type="dxa"/>
        </w:tblCellMar>
      </w:tblPr>
      <w:tblGrid>
        <w:gridCol w:w="7100"/>
        <w:gridCol w:w="60"/>
        <w:gridCol w:w="125"/>
        <w:gridCol w:w="1010"/>
        <w:gridCol w:w="80"/>
        <w:gridCol w:w="60"/>
        <w:gridCol w:w="125"/>
        <w:gridCol w:w="1010"/>
        <w:gridCol w:w="80"/>
      </w:tblGrid>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1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80" w:type="dxa"/>
            <w:tcBorders/>
            <w:vAlign w:val="center"/>
          </w:tcPr>
          <w:p>
            <w:pPr>
              <w:pStyle w:val="TableContents"/>
              <w:bidi w:val="0"/>
              <w:spacing w:before="0" w:after="283"/>
              <w:jc w:val="left"/>
              <w:rPr/>
            </w:pPr>
            <w:r>
              <w:rPr/>
              <w:t> </w:t>
            </w:r>
          </w:p>
        </w:tc>
      </w:tr>
      <w:tr>
        <w:trPr/>
        <w:tc>
          <w:tcPr>
            <w:tcW w:w="7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2,515,405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(1,503,467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584,792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608,001</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 debt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387,546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293,399</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disposal of property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6,292</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accounts receivable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(1,575,499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(131,850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receivables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46,959</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refundable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1,625</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(3,136,713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27,883</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144,190</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340,825</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Increase (decrease) 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399,837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848,216</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payroll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882,388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236,364</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(7,730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90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noncurrent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(338,670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(294,458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147,635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616,745</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101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 of and deposits for the purchase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(424,600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(217,048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Investment in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(27,818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sale of property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(451,442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(233,586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101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Payroll taxes withheld and remitted on share-based payments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(206,286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(107,313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note payable, revolver</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62,439,871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53,653,397</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note payable, revolver</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(61,735,514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(55,509,858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long-term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(2,580,978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(42,881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new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for financing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(147,932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redeemable restricted common stock, net of issuance costs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1,907,517</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payments on finance leases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(55,669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CCEEFF" w:val="clear"/>
            <w:vAlign w:val="center"/>
          </w:tcPr>
          <w:p>
            <w:pPr>
              <w:pStyle w:val="TableContents"/>
              <w:bidi w:val="0"/>
              <w:spacing w:before="0" w:after="0"/>
              <w:ind w:left="10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363,492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(205,992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increase in cash</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10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177,167</w:t>
            </w:r>
          </w:p>
        </w:tc>
        <w:tc>
          <w:tcPr>
            <w:tcW w:w="80" w:type="dxa"/>
            <w:tcBorders/>
            <w:shd w:fill="FFFFFF" w:val="clear"/>
            <w:vAlign w:val="center"/>
          </w:tcPr>
          <w:p>
            <w:pPr>
              <w:pStyle w:val="TableContents"/>
              <w:bidi w:val="0"/>
              <w:spacing w:before="0" w:after="283"/>
              <w:jc w:val="left"/>
              <w:rPr/>
            </w:pPr>
            <w:r>
              <w:rPr/>
              <w:t> </w:t>
            </w:r>
          </w:p>
        </w:tc>
      </w:tr>
      <w:tr>
        <w:trPr/>
        <w:tc>
          <w:tcPr>
            <w:tcW w:w="7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beginning of period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237,508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244,247</w:t>
            </w:r>
          </w:p>
        </w:tc>
        <w:tc>
          <w:tcPr>
            <w:tcW w:w="80" w:type="dxa"/>
            <w:tcBorders/>
            <w:shd w:fill="CCEEFF" w:val="clear"/>
            <w:vAlign w:val="center"/>
          </w:tcPr>
          <w:p>
            <w:pPr>
              <w:pStyle w:val="TableContents"/>
              <w:bidi w:val="0"/>
              <w:spacing w:before="0" w:after="283"/>
              <w:jc w:val="left"/>
              <w:rPr/>
            </w:pPr>
            <w:r>
              <w:rPr/>
              <w:t> </w:t>
            </w:r>
          </w:p>
        </w:tc>
      </w:tr>
      <w:tr>
        <w:trPr/>
        <w:tc>
          <w:tcPr>
            <w:tcW w:w="7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297,193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421,414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See accompanying condensed notes to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OPTICAL CABLE CORPORATION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Condensed Notes to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Nine Months Ended July 31, 2026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br/>
        <w:t>(Unaudited)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pPr>
      <w:bookmarkStart w:id="9" w:name="notes"/>
      <w:bookmarkEnd w:id="9"/>
      <w:r>
        <w:rPr/>
        <w:t> </w:t>
      </w:r>
    </w:p>
    <w:tbl>
      <w:tblPr>
        <w:tblW w:w="955" w:type="dxa"/>
        <w:jc w:val="left"/>
        <w:tblInd w:w="0" w:type="dxa"/>
        <w:tblLayout w:type="fixed"/>
        <w:tblCellMar>
          <w:top w:w="0" w:type="dxa"/>
          <w:left w:w="0" w:type="dxa"/>
          <w:bottom w:w="0" w:type="dxa"/>
          <w:right w:w="0" w:type="dxa"/>
        </w:tblCellMar>
      </w:tblPr>
      <w:tblGrid>
        <w:gridCol w:w="245"/>
        <w:gridCol w:w="7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7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General</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of Optical Cable Corporation and its subsidiaries (collectively, the “Company” or “OCC®”) have been prepared in accordance with U.S. generally accepted accounting principles for interim financial information and the instructions to Form 10</w:t>
        <w:noBreakHyphen/>
        <w:t>Q and Regulation S</w:t>
        <w:noBreakHyphen/>
        <w:t>X. Accordingly, they do not include all of the information and notes required by U.S. generally accepted accounting principles for complete financial statements. In the opinion of management, all material adjustments considered necessary for a fair presentation have been included. Operating results for the nine months ended July 31, 2026 are not necessarily indicative of the results for the fiscal year ending October 31, 2026 because the following items, among other things, may impact those results: changing macroeconomic conditions in various markets, supply chain and labor constraints impacting production volumes, any increased costs related to raw materials, labor, or government and private industry mandates in the areas of the world in which we operate, changes in market conditions, seasonality, inflation and interest rates, changes in technology, competitive conditions, timing of certain projects and purchases by key customers, significant variations in sales resulting from high volatility and timing of large sales orders among a limited number of customers in certain markets, ability of management to execute its business plans, continued ability to maintain and/or secure future debt and/or equity financing to adequately finance ongoing operations; as well as other variables, uncertainties, contingencies and risks set forth as risks in the Company’s Annual Report on Form 10</w:t>
        <w:noBreakHyphen/>
        <w:t>K for the fiscal year ended October 31, 2025 (including those set forth in the “Forward-Looking Information” section), or as otherwise set forth in other filings by the Company as variables, contingencies and/or risks possibly affecting future results. The unaudited condensed consolidated financial statements and condensed notes are presented as permitted by Form 10</w:t>
        <w:noBreakHyphen/>
        <w:t>Q and do not contain certain information included in the Company’s annual consolidated financial statements and notes. For further information, refer to the consolidated financial statements and notes thereto included in the Company’s Annual Report on Form 10</w:t>
        <w:noBreakHyphen/>
        <w:t>K for the fiscal year ended October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November 2023, the Financial Accounting Standards Board (“FASB”) issued Accounting Standards Update 2023-07, </w:t>
      </w:r>
      <w:r>
        <w:rPr>
          <w:rFonts w:ascii="Times New Roman" w:hAnsi="Times New Roman"/>
          <w:i/>
          <w:caps w:val="false"/>
          <w:smallCaps w:val="false"/>
          <w:sz w:val="20"/>
        </w:rPr>
        <w:t>Segment Reporting (Topic 280): Improvements to Reportable Segment Disclosures</w:t>
      </w:r>
      <w:r>
        <w:rPr>
          <w:rFonts w:ascii="Times New Roman" w:hAnsi="Times New Roman"/>
          <w:caps w:val="false"/>
          <w:smallCaps w:val="false"/>
          <w:sz w:val="20"/>
        </w:rPr>
        <w:t xml:space="preserve"> (“ASU 2023-07”). ASU 2023-07 requires public entities to disclose significant segment expenses that are regularly provided to the Chief Operating Decision Maker (“CODM”). Public entities with a single reportable segment are required to apply the disclosure requirements in ASU 2023-07, as well as all existing segment disclosure requirements in ASC 280, </w:t>
      </w:r>
      <w:r>
        <w:rPr>
          <w:rFonts w:ascii="Times New Roman" w:hAnsi="Times New Roman"/>
          <w:i/>
          <w:caps w:val="false"/>
          <w:smallCaps w:val="false"/>
          <w:sz w:val="20"/>
        </w:rPr>
        <w:t>Segment Reporting</w:t>
      </w:r>
      <w:r>
        <w:rPr>
          <w:rFonts w:ascii="Times New Roman" w:hAnsi="Times New Roman"/>
          <w:caps w:val="false"/>
          <w:smallCaps w:val="false"/>
          <w:sz w:val="20"/>
        </w:rPr>
        <w:t>, on an interim and annual basis. The guidance in ASU 2023-07 is effective for annual reporting periods in fiscal years beginning after December 15, 2023 and interim reporting periods in fiscal years beginning after December 31, 2024. The Company adopted ASU 2023-07 on a retrospective basis for the annual period ended October 31, 2025 and for interim reporting periods beginning with the fiscal quarter ended January 31, 2026. See note 11 for further information regarding the Company’s single reportable segment disclosures.</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260" w:type="dxa"/>
        <w:jc w:val="left"/>
        <w:tblInd w:w="0" w:type="dxa"/>
        <w:tblLayout w:type="fixed"/>
        <w:tblCellMar>
          <w:top w:w="0" w:type="dxa"/>
          <w:left w:w="0" w:type="dxa"/>
          <w:bottom w:w="0" w:type="dxa"/>
          <w:right w:w="0" w:type="dxa"/>
        </w:tblCellMar>
      </w:tblPr>
      <w:tblGrid>
        <w:gridCol w:w="245"/>
        <w:gridCol w:w="501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50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Stock Incentive Plan and Other Share</w:t>
            </w:r>
            <w:r>
              <w:rPr>
                <w:rFonts w:ascii="Times New Roman;Times;serif" w:hAnsi="Times New Roman;Times;serif"/>
                <w:caps w:val="false"/>
                <w:smallCaps w:val="false"/>
                <w:sz w:val="20"/>
              </w:rPr>
              <w:noBreakHyphen/>
            </w:r>
            <w:r>
              <w:rPr>
                <w:rFonts w:ascii="Times New Roman;Times;serif" w:hAnsi="Times New Roman;Times;serif"/>
                <w:b/>
                <w:caps w:val="false"/>
                <w:smallCaps w:val="false"/>
                <w:sz w:val="20"/>
              </w:rPr>
              <w:t>Based Compensation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As of July 31, 2026, there were approximately 400,000 remaining shares available for grant under the Optical Cable Corporation Stock Incentive Plan, as amended (“2017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Share-based compensation expense for employees, a consultant and non-employee Directors recognized in the condensed consolidated statements of operations for the three months and nine months ended July 31, 2026 was $224,902 and $387,546, respectively. Share-based compensation expense for employees, a consultant and non-employee Directors recognized in the condensed consolidated statements of operations for the three months and nine months ended July 31, 2025 was $107,101 and $293,399, respectively. Share-based compensation expense is entirely related to expense recognized in connection with the vesting of restricted stock awards or other stock awards.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rPr>
      </w:pPr>
      <w:r>
        <w:rPr>
          <w:rFonts w:ascii="Times New Roman" w:hAnsi="Times New Roman"/>
          <w:i/>
          <w:caps w:val="false"/>
          <w:smallCaps w:val="false"/>
          <w:sz w:val="20"/>
        </w:rPr>
        <w:t>Stock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has granted, and anticipates granting from time to time, restricted stock awards subject to approval by the Compensation Committee of the Board of Directors. Since fiscal year 2004, the Company has exclusively used restricted stock awards for all share-based compensation of employees and consultants, and restricted stock awards or stock awards to non-employee members of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During the three months ended July 31, 2026, OCC granted restricted stock awards totaling 14,932 shares to non-employee Directors under the 2017 Plan. The shares are subject to a one-year vesting period and are part of the non-employee Directors’ annual compensation for service on the Board of Directors.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Restricted stock award activity during the nine months ended July 31, 2026 consisted of stock grants totaling 14,932 shares, restricted shares forfeited totaling 6,685 shares and restricted shares withheld for taxes in connection with the vesting of restricted shares totaling 36,293 shares. OCC restricted stock grants provide the participant with the option to surrender shares to pay for withholding tax obligations resulting from any vesting restricted shares, or to pay cash to the Company or taxing authorities in the amount of the withholding taxes owed on the value of any vesting restricted shares in order to avoid surrendering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As of July 31, 2026, the estimated amount of compensation cost related to unvested equity-based compensation awards in the form of service-based and operational performance-based shares that the Company will recognize over a 1.1 year weighted-average period is approximately $661,000.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290" w:type="dxa"/>
        <w:jc w:val="left"/>
        <w:tblInd w:w="0" w:type="dxa"/>
        <w:tblLayout w:type="fixed"/>
        <w:tblCellMar>
          <w:top w:w="0" w:type="dxa"/>
          <w:left w:w="0" w:type="dxa"/>
          <w:bottom w:w="0" w:type="dxa"/>
          <w:right w:w="0" w:type="dxa"/>
        </w:tblCellMar>
      </w:tblPr>
      <w:tblGrid>
        <w:gridCol w:w="245"/>
        <w:gridCol w:w="5045"/>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50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Allowance for Credit Losses for Trade Accounts Receivable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A summary of changes in the allowance for credit losses for trade accounts receivable for the nine months ended July 31, 2026 and 2025 follows:</w:t>
      </w:r>
    </w:p>
    <w:p>
      <w:pPr>
        <w:pStyle w:val="TextBody"/>
        <w:bidi w:val="0"/>
        <w:spacing w:before="0" w:after="0"/>
        <w:ind w:left="0" w:right="0" w:hanging="0"/>
        <w:jc w:val="left"/>
        <w:rPr/>
      </w:pPr>
      <w:r>
        <w:rPr/>
        <w:t> </w:t>
      </w:r>
    </w:p>
    <w:tbl>
      <w:tblPr>
        <w:tblW w:w="4402" w:type="dxa"/>
        <w:jc w:val="left"/>
        <w:tblInd w:w="0" w:type="dxa"/>
        <w:tblLayout w:type="fixed"/>
        <w:tblCellMar>
          <w:top w:w="0" w:type="dxa"/>
          <w:left w:w="0" w:type="dxa"/>
          <w:bottom w:w="0" w:type="dxa"/>
          <w:right w:w="0" w:type="dxa"/>
        </w:tblCellMar>
      </w:tblPr>
      <w:tblGrid>
        <w:gridCol w:w="2555"/>
        <w:gridCol w:w="60"/>
        <w:gridCol w:w="136"/>
        <w:gridCol w:w="644"/>
        <w:gridCol w:w="87"/>
        <w:gridCol w:w="65"/>
        <w:gridCol w:w="136"/>
        <w:gridCol w:w="644"/>
        <w:gridCol w:w="75"/>
      </w:tblGrid>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75" w:type="dxa"/>
            <w:tcBorders/>
            <w:vAlign w:val="center"/>
          </w:tcPr>
          <w:p>
            <w:pPr>
              <w:pStyle w:val="TableContents"/>
              <w:bidi w:val="0"/>
              <w:spacing w:before="0" w:after="283"/>
              <w:jc w:val="left"/>
              <w:rPr/>
            </w:pPr>
            <w:r>
              <w:rPr/>
              <w:t> </w:t>
            </w:r>
          </w:p>
        </w:tc>
      </w:tr>
      <w:tr>
        <w:trPr/>
        <w:tc>
          <w:tcPr>
            <w:tcW w:w="25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5" w:type="dxa"/>
            <w:tcBorders/>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72,909</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92,125</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Bad debt expense (recovery)</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13,494</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64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75" w:type="dxa"/>
            <w:tcBorders/>
            <w:shd w:fill="FFFFFF" w:val="clear"/>
            <w:vAlign w:val="center"/>
          </w:tcPr>
          <w:p>
            <w:pPr>
              <w:pStyle w:val="TableContents"/>
              <w:bidi w:val="0"/>
              <w:spacing w:before="0" w:after="283"/>
              <w:jc w:val="left"/>
              <w:rPr/>
            </w:pPr>
            <w:r>
              <w:rPr/>
              <w:t> </w:t>
            </w:r>
          </w:p>
        </w:tc>
      </w:tr>
      <w:tr>
        <w:trPr/>
        <w:tc>
          <w:tcPr>
            <w:tcW w:w="25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charged to allowance</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(1,854</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4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75" w:type="dxa"/>
            <w:tcBorders/>
            <w:shd w:fill="CCEEFF" w:val="clear"/>
            <w:vAlign w:val="center"/>
          </w:tcPr>
          <w:p>
            <w:pPr>
              <w:pStyle w:val="TableContents"/>
              <w:bidi w:val="0"/>
              <w:spacing w:before="0" w:after="283"/>
              <w:jc w:val="left"/>
              <w:rPr/>
            </w:pPr>
            <w:r>
              <w:rPr/>
              <w:t> </w:t>
            </w:r>
          </w:p>
        </w:tc>
      </w:tr>
      <w:tr>
        <w:trPr/>
        <w:tc>
          <w:tcPr>
            <w:tcW w:w="25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84,549</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92,621</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225" w:type="dxa"/>
        <w:jc w:val="left"/>
        <w:tblInd w:w="0" w:type="dxa"/>
        <w:tblLayout w:type="fixed"/>
        <w:tblCellMar>
          <w:top w:w="0" w:type="dxa"/>
          <w:left w:w="0" w:type="dxa"/>
          <w:bottom w:w="0" w:type="dxa"/>
          <w:right w:w="0" w:type="dxa"/>
        </w:tblCellMar>
      </w:tblPr>
      <w:tblGrid>
        <w:gridCol w:w="245"/>
        <w:gridCol w:w="98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98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Inventories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Inventories as of July 31, 2026 and October 31, 2025 consist of the following:</w:t>
      </w:r>
    </w:p>
    <w:p>
      <w:pPr>
        <w:pStyle w:val="TextBody"/>
        <w:bidi w:val="0"/>
        <w:spacing w:before="0" w:after="0"/>
        <w:ind w:left="0" w:right="0" w:hanging="0"/>
        <w:jc w:val="left"/>
        <w:rPr/>
      </w:pPr>
      <w:r>
        <w:rPr/>
        <w:t> </w:t>
      </w:r>
    </w:p>
    <w:tbl>
      <w:tblPr>
        <w:tblW w:w="4030" w:type="dxa"/>
        <w:jc w:val="left"/>
        <w:tblInd w:w="0" w:type="dxa"/>
        <w:tblLayout w:type="fixed"/>
        <w:tblCellMar>
          <w:top w:w="0" w:type="dxa"/>
          <w:left w:w="0" w:type="dxa"/>
          <w:bottom w:w="0" w:type="dxa"/>
          <w:right w:w="0" w:type="dxa"/>
        </w:tblCellMar>
      </w:tblPr>
      <w:tblGrid>
        <w:gridCol w:w="1640"/>
        <w:gridCol w:w="60"/>
        <w:gridCol w:w="125"/>
        <w:gridCol w:w="950"/>
        <w:gridCol w:w="60"/>
        <w:gridCol w:w="60"/>
        <w:gridCol w:w="125"/>
        <w:gridCol w:w="950"/>
        <w:gridCol w:w="60"/>
      </w:tblGrid>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October 31,</w:t>
            </w:r>
          </w:p>
        </w:tc>
        <w:tc>
          <w:tcPr>
            <w:tcW w:w="60" w:type="dxa"/>
            <w:tcBorders/>
            <w:vAlign w:val="center"/>
          </w:tcPr>
          <w:p>
            <w:pPr>
              <w:pStyle w:val="TableContents"/>
              <w:bidi w:val="0"/>
              <w:spacing w:before="0" w:after="283"/>
              <w:jc w:val="left"/>
              <w:rPr/>
            </w:pPr>
            <w:r>
              <w:rPr/>
              <w:t> </w:t>
            </w:r>
          </w:p>
        </w:tc>
      </w:tr>
      <w:tr>
        <w:trPr/>
        <w:tc>
          <w:tcPr>
            <w:tcW w:w="16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ind w:left="0" w:right="0" w:hanging="0"/>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5,713,569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5,542,575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6,834,989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5,047,737</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1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10,082,391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8,890,488</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1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Production supplies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320,954</w:t>
            </w:r>
          </w:p>
        </w:tc>
        <w:tc>
          <w:tcPr>
            <w:tcW w:w="60" w:type="dxa"/>
            <w:tcBorders/>
            <w:shd w:fill="FFFFFF" w:val="clear"/>
            <w:vAlign w:val="center"/>
          </w:tcPr>
          <w:p>
            <w:pPr>
              <w:pStyle w:val="TableContents"/>
              <w:bidi w:val="0"/>
              <w:spacing w:before="0" w:after="283"/>
              <w:jc w:val="left"/>
              <w:rPr/>
            </w:pPr>
            <w:r>
              <w:rPr/>
              <w:t> </w:t>
            </w:r>
          </w:p>
        </w:tc>
      </w:tr>
      <w:tr>
        <w:trPr/>
        <w:tc>
          <w:tcPr>
            <w:tcW w:w="164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22,938,467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19,801,754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005" w:type="dxa"/>
        <w:jc w:val="left"/>
        <w:tblInd w:w="0" w:type="dxa"/>
        <w:tblLayout w:type="fixed"/>
        <w:tblCellMar>
          <w:top w:w="0" w:type="dxa"/>
          <w:left w:w="0" w:type="dxa"/>
          <w:bottom w:w="0" w:type="dxa"/>
          <w:right w:w="0" w:type="dxa"/>
        </w:tblCellMar>
      </w:tblPr>
      <w:tblGrid>
        <w:gridCol w:w="290"/>
        <w:gridCol w:w="1715"/>
      </w:tblGrid>
      <w:tr>
        <w:trPr/>
        <w:tc>
          <w:tcPr>
            <w:tcW w:w="2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(5) </w:t>
            </w:r>
          </w:p>
        </w:tc>
        <w:tc>
          <w:tcPr>
            <w:tcW w:w="17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Product Warranties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As of July 31, 2026 and October 31, 2025, the Company’s accrual for estimated product warranty claims totaled $110,000 and $100,000, respectively, and is included in accounts payable and accrued expenses. Warranty claims expense for the three months and nine months ended July 31, 2026 totaled $34,455 and $71,067, respectively. Warranty claims expense for the three months and nine months ended July 31, 2025 totaled $53,088 and $85,029, respectively. Warranty claims expense includes certain costs to investigate claims and potential claims, and the costs to replace and/or repair product pursuant to claims, which can include claims not deemed valid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the changes in the Company’s accrual for product warranties during the nine months ended July 31, 2026 and 2025:</w:t>
      </w:r>
    </w:p>
    <w:p>
      <w:pPr>
        <w:pStyle w:val="TextBody"/>
        <w:bidi w:val="0"/>
        <w:spacing w:before="0" w:after="0"/>
        <w:ind w:left="0" w:right="0" w:hanging="0"/>
        <w:jc w:val="left"/>
        <w:rPr/>
      </w:pPr>
      <w:r>
        <w:rPr/>
        <w:t> </w:t>
      </w:r>
    </w:p>
    <w:tbl>
      <w:tblPr>
        <w:tblW w:w="7175" w:type="dxa"/>
        <w:jc w:val="left"/>
        <w:tblInd w:w="0" w:type="dxa"/>
        <w:tblLayout w:type="fixed"/>
        <w:tblCellMar>
          <w:top w:w="0" w:type="dxa"/>
          <w:left w:w="0" w:type="dxa"/>
          <w:bottom w:w="0" w:type="dxa"/>
          <w:right w:w="0" w:type="dxa"/>
        </w:tblCellMar>
      </w:tblPr>
      <w:tblGrid>
        <w:gridCol w:w="5255"/>
        <w:gridCol w:w="60"/>
        <w:gridCol w:w="125"/>
        <w:gridCol w:w="695"/>
        <w:gridCol w:w="80"/>
        <w:gridCol w:w="60"/>
        <w:gridCol w:w="125"/>
        <w:gridCol w:w="695"/>
        <w:gridCol w:w="80"/>
      </w:tblGrid>
      <w:tr>
        <w:trPr/>
        <w:tc>
          <w:tcPr>
            <w:tcW w:w="5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tc>
        <w:tc>
          <w:tcPr>
            <w:tcW w:w="80"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80" w:type="dxa"/>
            <w:tcBorders/>
            <w:vAlign w:val="center"/>
          </w:tcPr>
          <w:p>
            <w:pPr>
              <w:pStyle w:val="TableContents"/>
              <w:bidi w:val="0"/>
              <w:spacing w:before="0" w:after="283"/>
              <w:jc w:val="left"/>
              <w:rPr/>
            </w:pPr>
            <w:r>
              <w:rPr/>
              <w:t> </w:t>
            </w:r>
          </w:p>
        </w:tc>
      </w:tr>
      <w:tr>
        <w:trPr/>
        <w:tc>
          <w:tcPr>
            <w:tcW w:w="52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65,000</w:t>
            </w:r>
          </w:p>
        </w:tc>
        <w:tc>
          <w:tcPr>
            <w:tcW w:w="80" w:type="dxa"/>
            <w:tcBorders/>
            <w:shd w:fill="CCEEFF" w:val="clear"/>
            <w:vAlign w:val="center"/>
          </w:tcPr>
          <w:p>
            <w:pPr>
              <w:pStyle w:val="TableContents"/>
              <w:bidi w:val="0"/>
              <w:spacing w:before="0" w:after="283"/>
              <w:jc w:val="left"/>
              <w:rPr/>
            </w:pPr>
            <w:r>
              <w:rPr/>
              <w:t> </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accrued for warranties issued during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106,094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109,520</w:t>
            </w:r>
          </w:p>
        </w:tc>
        <w:tc>
          <w:tcPr>
            <w:tcW w:w="80" w:type="dxa"/>
            <w:tcBorders/>
            <w:shd w:fill="FFFFFF" w:val="clear"/>
            <w:vAlign w:val="center"/>
          </w:tcPr>
          <w:p>
            <w:pPr>
              <w:pStyle w:val="TableContents"/>
              <w:bidi w:val="0"/>
              <w:spacing w:before="0" w:after="283"/>
              <w:jc w:val="left"/>
              <w:rPr/>
            </w:pPr>
            <w:r>
              <w:rPr/>
              <w:t> </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claims and costs paid during the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(45,029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liability for pre-existing warranties during the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2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105,000</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265" w:type="dxa"/>
        <w:jc w:val="left"/>
        <w:tblInd w:w="0" w:type="dxa"/>
        <w:tblLayout w:type="fixed"/>
        <w:tblCellMar>
          <w:top w:w="0" w:type="dxa"/>
          <w:left w:w="0" w:type="dxa"/>
          <w:bottom w:w="0" w:type="dxa"/>
          <w:right w:w="0" w:type="dxa"/>
        </w:tblCellMar>
      </w:tblPr>
      <w:tblGrid>
        <w:gridCol w:w="245"/>
        <w:gridCol w:w="30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30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Long-term Debt and Notes Payable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has credit facilities consisting of a term loan (the “Term Loan”) and a Revolving Credit Master Promissory Note and related Loan and Security Agreement (collectively, the “Revolver”).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Company entered into the Term Loan consisting of a Business Loan Agreement (the “Loan Agreement”) with Freedom First Federal Credit Union (“Freedom First”) on April 30, 2026. In connection with the Loan Agreement, the Company also executed a Promissory Note in the original principal amount of $2,650,000. Coinciding with the Company entering the Loan Agreement with Freedom First, the Company paid the full outstanding balance of the Company’s existing Virginia Real Estate Loan with Northeast Bank, which had a maturity date of 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Term Loan is payable in monthly installments of principal and interest. Principal is calculated using the unpaid balance of the loan and a two hundred forty (240) month amortization schedule. Interest is computed on the aggregate principal balance outstanding at a fixed rate of 6.5% per annum for 60 months. Effective June 1, 2031, the interest rate will change to the monthly average yield on U.S. Treasury Securities, adjusted to a constant maturity of five years, plus 2.5%, for a new fixed rate for years six though ten. Notwithstanding any other provision, the interest rate on the Promissory Note shall at no time be less than 4.5% per annum. The maturity date of the Term Loan is May 1,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Term Loan is secured by a first lien deed of trust on the land and building at the Company’s headquarters and manufacturing facilities located in Roanoke,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had an outstanding balance on its Term Loan of $2,639,815 as of July 31, 2026. The Company had an outstanding balance on its Virginia Real Estate Loan of $2,570,793 as of October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Revolver with North Mill Capital LLC (doing business as SLR Business Credit, “SLR”) provides the Company with one or more advances in an amount up to: (a) 85% of the aggregate outstanding amount of eligible accounts (the “eligible accounts loan value”); plus (b) the lowest of (i) an amount up to 35% of the aggregate value of eligible inventory, (ii) $7,000,000, and (iii) an amount not to exceed 100% of the then outstanding eligible accounts loan value; minus (c) $1,150,000.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maximum aggregate principal amount subject to the Revolver is $18,000,000. Interest accrues on the daily balance at the per annum rate of 1.5% above the Prime Rate in effect from time to time, but not less than 4.75% (the “Applicable Rate”). As a result, the Revolver accrued interest at an 8.25% rate at July 31, 2026 and 8.5% at October 31, 2025. In the event of a default, interest may become 6.0% above the Applicable Rate. The loan may be extended subject to the agreement of SLR.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Company’s Revolver requires a lockbox arrangement, which provides for all cash receipts to be swept daily to reduce the balance outstanding. This arrangement, combined with the existence of a “subjective acceleration clause” (as defined by U.S. generally accepted accounting principles) in the Revolver, requires the balance on the Revolver to be classified as a current liability. The “subjective acceleration clause” allows SLR to declare an event of default if there is a material adverse change in the Company’s business or financial condition. Upon the occurrence of an event of default, SLR may, among other things, declare all obligations payable in full. Management believes that no such material adverse change has occurred. In addition, at July 31, 2026 and through the date of this report, SLR has not informed the Company that any such event of default has occurred.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Revolver has a maturity date of July 24, 2027 and management believes that the Company will continue to be able to borrow on the Revolver to fund its operations over the remaining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Revolver is secured by all of the following assets, properties, rights and interests in property of the Company whether now owned or existing, or hereafter acquired or arising, and wherever located; all accounts, equipment, commercial tort claims, general intangibles, chattel paper, inventory, negotiable collateral, investment property, financial assets, letter-of-credit rights, supporting obligations, deposit accounts, money or assets of the Company, which hereafter come into the possession, custody, or control of SLR; all proceeds and products, whether tangible or intangible, of any of the foregoing, including proceeds of insurance covering any or all of the foregoing; any and all tangible or intangible property resulting from the sale, lease, license or other disposition of any of the foregoing, or any portion thereof or interest therein, and all proceeds thereof; and any other assets of the Company which may be subject to a lien in favor of SLR as security for the obligations under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As of July 31, 2026, the Company had $6.3 million of outstanding borrowings on its Revolver and $6.6 million in available credit. As of October 31, 2025, the Company had $5.6 million of outstanding borrowings on its Revolver and $4.7 million in available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835" w:type="dxa"/>
        <w:jc w:val="left"/>
        <w:tblInd w:w="0" w:type="dxa"/>
        <w:tblLayout w:type="fixed"/>
        <w:tblCellMar>
          <w:top w:w="0" w:type="dxa"/>
          <w:left w:w="0" w:type="dxa"/>
          <w:bottom w:w="0" w:type="dxa"/>
          <w:right w:w="0" w:type="dxa"/>
        </w:tblCellMar>
      </w:tblPr>
      <w:tblGrid>
        <w:gridCol w:w="245"/>
        <w:gridCol w:w="59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an operating lease agreement for approximately 34,000 square feet of office, manufacturing and warehouse space in Plano, Texas (near Dallas). The lease term expires on November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has an operating lease agreement for approximately 27,500 square feet of warehouse space in Roanoke, Virginia. The lease term expires on April 30, 2029.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also leases certain office equipment under operating leases with initial 60-month and 48-month terms. The lease terms expire December 9, 2029 and May 19,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test equipment that is used in the Asheville, North Carolina manufacturing facility. The lease term expires on June 26, 2030. The right-of-use asset is being amortized on a straight-line basis over five years. When the lease term ends, if the Company elects to retain the test equipment, title will transfer to the Company and the remaining net book value of the right-of-use asset will be classified as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leases phone equipment that is used in the Roanoke, Virginia facility. The lease term expires on April 24, 2031. The right-of-use asset is being amortized on a straight-line basis over five years. When the lease term ends, if the Company elects to retain the phone equipment, title will transfer to the Company and the remaining net book value of the right-of-use asset will be classified as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leased printers that are used in the Roanoke, Virginia manufacturing facility. The lease term expired on August 22, 2026. The right-of-use asset was amortized on a straight-line basis over seven years. When the lease term ended, the Company elected to purchase and retain the printers for a nominal fee. Title will transfer to the Company and the remaining net book value of the right-of-use asset will be classified as property and equipment subsequent to July 31, 2026, once the fee has been paid.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Company’s lease contracts may include options to extend or terminate the leases. The Company exercises judgment to determine the term of those leases when such options are present and include such options in the calculation of the lease term when it is reasonably certain that it will exercise those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includes contract lease components in its determination of lease payments, while non-lease components of the contracts, such as taxes, insurance, and common area maintenance, are expensed as incurred. At commencement, right-of-use assets and lease liabilities are measured at the present value of future lease payments over the lease term. The Company uses either the rate implicit in the lease, where available, or its incremental borrowing rate based on information available at the time of lease commencement to measure the present value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Operating lease expense is recognized on a straight-line basis over the lease term. Short-term leases with an initial term of 12 months or less are expensed as incurred. The Company’s short-term leases have month-to-month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Operating lease right-of-use assets of $1,818,039 and $1,686,290 were included in other assets at July 31, 2026 and October 31, 2025, respectively. Operating lease liabilities of $468,155 and $1,432,777 were included in accounts payable and accrued expenses, and other noncurrent liabilities, respectively, at July 31, 2026. Operating lease liabilities of $392,898 and $1,358,584 were included in accounts payable and accrued expenses, and other noncurrent liabilities, respectively, at October 31, 2025. Operating lease expense recognized during the three months and nine months ended July 31, 2026 totaled $187,096 and $504,140, respectively. Operating lease expense recognized during the three months and nine months ended July 31, 2025 totaled $153,107 and $462,766,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weighted average remaining lease term for the operating leases was 41.2 months and the weighted average discount rate was 9.2% as of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and nine months ended July 31, 2026, cash paid for operating lease liabilities totaled $151,961 and $453,334, respectively. For the three months and nine months ended July 31, 2025, cash paid for operating lease liabilities totaled $147,390 and $432,529, respectively. For the three months ended July 31, 2026, right-of-use assets obtained in exchange for new operating lease liabilities totaled $30,568. For the nine months ended July 31, 2026, right-of-use assets obtained in exchange for new operating lease liabilities totaled $479,254. For the three months ended July 31, 2025, there were no right-of-use assets obtained in exchange for new operating lease liabilities. For the nine months ended July 31, 2025, right-of-use assets obtained in exchange for new operating lease liabilities totaled $266,141 and there was a reduction in the right-of-use assets for terminated lease liabilities totaling $21,344.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July 31, 2026, there were no right-of-use assets obtained in exchange for new finance lease liabilities. For the nine months ended July 31, 2026, right-of-use assets obtained in exchange for new finance lease liabilities totaled $35,081. For the three months and nine months ended July 31, 2025 right-of-use assets obtained in exchange for new finance lease liabilities totaled $188,185.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Finance lease right-of-use assets of $239,793 and $257,986 were included in other assets at July 31, 2026 and October 31, 2025, respectively. Finance lease liabilities of $65,504 and $145,878 were included in accounts payable and accrued expenses, and other noncurrent liabilities, respectively, at July 31, 2026. Finance lease liabilities of $87,014 and $144,957 were included in accounts payable and accrued expenses, and other noncurrent liabilities, respectively, at October 31, 2025. Interest expense related to the finance leases totaled $3,510 and $11,305, respectively, for the three months and nine months ended July 31, 2026. Interest expense related to the finance leases totaled $2,070 and $4,098, respectively, for the three months and nine months ended July 31, 2025. For the three months and nine months ended July 31, 2026, amortization expense related to the finance leases totaled $19,707 and $53,274, respectively. For the three months and nine months ended July 31, 2025, amortization expense related to the finance leases totaled $10,511 and $25,260,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weighted average remaining lease term for the finance leases was 43.5 months and the weighted average discount rate was 6.4% as of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July 31, 2026, cash paid for the finance lease liabilities totaled $3,510 for interest and $19,222 for principal. For the nine months ended July 31, 2026, cash paid for the finance lease liabilities totaled $11,305 for interest and $55,669 for principal. For the three months ended July 31, 2025, cash paid for the finance lease liability totaled $2,070 for interest and $12,449 for principal. For the nine months ended July 31, 2025, cash paid for the finance lease liability totaled $4,098 for interest and $31,854 for principal.</w:t>
      </w:r>
    </w:p>
    <w:p>
      <w:pPr>
        <w:pStyle w:val="TextBody"/>
        <w:bidi w:val="0"/>
        <w:spacing w:before="0" w:after="0"/>
        <w:ind w:left="54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Company’s future payments due under leases reconciled to the lease liabilities are as follows:</w:t>
      </w:r>
    </w:p>
    <w:p>
      <w:pPr>
        <w:pStyle w:val="TextBody"/>
        <w:bidi w:val="0"/>
        <w:spacing w:before="0" w:after="0"/>
        <w:ind w:left="0" w:right="0" w:hanging="0"/>
        <w:jc w:val="left"/>
        <w:rPr/>
      </w:pPr>
      <w:r>
        <w:rPr/>
        <w:t> </w:t>
      </w:r>
    </w:p>
    <w:tbl>
      <w:tblPr>
        <w:tblW w:w="5015" w:type="dxa"/>
        <w:jc w:val="left"/>
        <w:tblInd w:w="0" w:type="dxa"/>
        <w:tblLayout w:type="fixed"/>
        <w:tblCellMar>
          <w:top w:w="0" w:type="dxa"/>
          <w:left w:w="0" w:type="dxa"/>
          <w:bottom w:w="0" w:type="dxa"/>
          <w:right w:w="0" w:type="dxa"/>
        </w:tblCellMar>
      </w:tblPr>
      <w:tblGrid>
        <w:gridCol w:w="2885"/>
        <w:gridCol w:w="60"/>
        <w:gridCol w:w="60"/>
        <w:gridCol w:w="125"/>
        <w:gridCol w:w="845"/>
        <w:gridCol w:w="80"/>
        <w:gridCol w:w="60"/>
        <w:gridCol w:w="125"/>
        <w:gridCol w:w="695"/>
        <w:gridCol w:w="80"/>
      </w:tblGrid>
      <w:tr>
        <w:trPr/>
        <w:tc>
          <w:tcPr>
            <w:tcW w:w="288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Fiscal Year</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Operating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Finance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leases</w:t>
            </w:r>
          </w:p>
        </w:tc>
        <w:tc>
          <w:tcPr>
            <w:tcW w:w="80" w:type="dxa"/>
            <w:tcBorders/>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2026    </w:t>
            </w:r>
            <w:r>
              <w:rPr>
                <w:rFonts w:ascii="Times New Roman;Times;serif" w:hAnsi="Times New Roman;Times;serif"/>
                <w:b/>
                <w:caps w:val="false"/>
                <w:smallCaps w:val="false"/>
                <w:sz w:val="20"/>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152,711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36,800</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629,022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52,948</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652,425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52,948</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675,460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52,948</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119,635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41,409</w:t>
            </w:r>
          </w:p>
        </w:tc>
        <w:tc>
          <w:tcPr>
            <w:tcW w:w="8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undiscounted lease payments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8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2,229,253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237,053</w:t>
            </w:r>
          </w:p>
        </w:tc>
        <w:tc>
          <w:tcPr>
            <w:tcW w:w="8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discount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(328,321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liability</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1,900,932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211,382</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3910" w:type="dxa"/>
        <w:jc w:val="left"/>
        <w:tblInd w:w="0" w:type="dxa"/>
        <w:tblLayout w:type="fixed"/>
        <w:tblCellMar>
          <w:top w:w="0" w:type="dxa"/>
          <w:left w:w="0" w:type="dxa"/>
          <w:bottom w:w="0" w:type="dxa"/>
          <w:right w:w="0" w:type="dxa"/>
        </w:tblCellMar>
      </w:tblPr>
      <w:tblGrid>
        <w:gridCol w:w="60"/>
        <w:gridCol w:w="245"/>
        <w:gridCol w:w="36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w:t>
            </w:r>
          </w:p>
        </w:tc>
        <w:tc>
          <w:tcPr>
            <w:tcW w:w="360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Remaining three months of fiscal year 2026.</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455" w:type="dxa"/>
        <w:jc w:val="left"/>
        <w:tblInd w:w="0" w:type="dxa"/>
        <w:tblLayout w:type="fixed"/>
        <w:tblCellMar>
          <w:top w:w="0" w:type="dxa"/>
          <w:left w:w="0" w:type="dxa"/>
          <w:bottom w:w="0" w:type="dxa"/>
          <w:right w:w="0" w:type="dxa"/>
        </w:tblCellMar>
      </w:tblPr>
      <w:tblGrid>
        <w:gridCol w:w="245"/>
        <w:gridCol w:w="221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22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Fair Value Measurements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carrying amounts reported in the condensed consolidated balance sheets as of July 31, 2026 and October 31, 2025 for cash, trade accounts receivable, income taxes refundable – current, other receivables, current installments of long-term debt, accounts payable and accrued expenses, accrued compensation and payroll taxes, and income taxes payable approximate fair value because of the short maturity of these instruments. The carrying values reported in the condensed consolidated balance sheets as of July 31, 2026 and October 31, 2025 of the Company’s note payable, revolver – current approximate fair value because the interest rates vary with the market. The carrying value reported in the condensed consolidated balance sheet as of July 31, 2026 of the Company’s long-term debt, excluding current installments, approximates fair value based on similar long-term debt issues available to the Company as of July 31, 2026. Fair value is defined as the amount that would be received to sell an asset or paid to transfer a liability in an orderly transaction between market participants at the measurement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665" w:type="dxa"/>
        <w:jc w:val="left"/>
        <w:tblInd w:w="0" w:type="dxa"/>
        <w:tblLayout w:type="fixed"/>
        <w:tblCellMar>
          <w:top w:w="0" w:type="dxa"/>
          <w:left w:w="0" w:type="dxa"/>
          <w:bottom w:w="0" w:type="dxa"/>
          <w:right w:w="0" w:type="dxa"/>
        </w:tblCellMar>
      </w:tblPr>
      <w:tblGrid>
        <w:gridCol w:w="245"/>
        <w:gridCol w:w="2420"/>
      </w:tblGrid>
      <w:tr>
        <w:trPr/>
        <w:tc>
          <w:tcPr>
            <w:tcW w:w="24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(9)</w:t>
            </w:r>
          </w:p>
        </w:tc>
        <w:tc>
          <w:tcPr>
            <w:tcW w:w="24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Income (Loss) Per Share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Basic net income (loss) per share excludes dilution and is computed by dividing net income (loss) available to common shareholders by the weighted-average number of common shares and shares of redeemable restricted common stock outstanding for the period. Diluted net income (loss) per share reflects the potential dilution that could occur if securities or other contracts to issue common stock were exercised or converted into common stock or resulted in the issuance of common stock that then shared in the net income (loss)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following is a reconciliation of the numerators and denominators of the net income (loss) per share computations for the periods presented:</w:t>
      </w:r>
    </w:p>
    <w:p>
      <w:pPr>
        <w:pStyle w:val="TextBody"/>
        <w:bidi w:val="0"/>
        <w:spacing w:before="0" w:after="0"/>
        <w:ind w:left="0" w:right="0" w:hanging="0"/>
        <w:jc w:val="left"/>
        <w:rPr/>
      </w:pPr>
      <w:r>
        <w:rPr/>
        <w:t> </w:t>
      </w:r>
    </w:p>
    <w:tbl>
      <w:tblPr>
        <w:tblW w:w="8105" w:type="dxa"/>
        <w:jc w:val="left"/>
        <w:tblInd w:w="0" w:type="dxa"/>
        <w:tblLayout w:type="fixed"/>
        <w:tblCellMar>
          <w:top w:w="0" w:type="dxa"/>
          <w:left w:w="0" w:type="dxa"/>
          <w:bottom w:w="0" w:type="dxa"/>
          <w:right w:w="0" w:type="dxa"/>
        </w:tblCellMar>
      </w:tblPr>
      <w:tblGrid>
        <w:gridCol w:w="3650"/>
        <w:gridCol w:w="60"/>
        <w:gridCol w:w="125"/>
        <w:gridCol w:w="845"/>
        <w:gridCol w:w="60"/>
        <w:gridCol w:w="60"/>
        <w:gridCol w:w="125"/>
        <w:gridCol w:w="845"/>
        <w:gridCol w:w="60"/>
        <w:gridCol w:w="60"/>
        <w:gridCol w:w="125"/>
        <w:gridCol w:w="845"/>
        <w:gridCol w:w="60"/>
        <w:gridCol w:w="60"/>
        <w:gridCol w:w="125"/>
        <w:gridCol w:w="905"/>
        <w:gridCol w:w="95"/>
      </w:tblGrid>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tc>
        <w:tc>
          <w:tcPr>
            <w:tcW w:w="9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95" w:type="dxa"/>
            <w:tcBorders/>
            <w:vAlign w:val="center"/>
          </w:tcPr>
          <w:p>
            <w:pPr>
              <w:pStyle w:val="TableContents"/>
              <w:bidi w:val="0"/>
              <w:spacing w:before="0" w:after="283"/>
              <w:jc w:val="left"/>
              <w:rPr/>
            </w:pPr>
            <w:r>
              <w:rPr/>
              <w:t> </w:t>
            </w:r>
          </w:p>
        </w:tc>
      </w:tr>
      <w:tr>
        <w:trPr/>
        <w:tc>
          <w:tcPr>
            <w:tcW w:w="36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5" w:type="dxa"/>
            <w:tcBorders/>
            <w:vAlign w:val="center"/>
          </w:tcPr>
          <w:p>
            <w:pPr>
              <w:pStyle w:val="TableContents"/>
              <w:bidi w:val="0"/>
              <w:spacing w:before="0" w:after="283"/>
              <w:ind w:left="0" w:right="0" w:hanging="0"/>
              <w:jc w:val="left"/>
              <w:rPr/>
            </w:pPr>
            <w:r>
              <w:rPr/>
              <w:t> </w:t>
            </w:r>
          </w:p>
        </w:tc>
      </w:tr>
      <w:tr>
        <w:trPr/>
        <w:tc>
          <w:tcPr>
            <w:tcW w:w="36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(numerator)</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(1,503,467</w:t>
            </w:r>
          </w:p>
        </w:tc>
        <w:tc>
          <w:tcPr>
            <w:tcW w:w="9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6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Shares (denominator)</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8,834,543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8,394,988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8,844,796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7,900,901</w:t>
            </w:r>
          </w:p>
        </w:tc>
        <w:tc>
          <w:tcPr>
            <w:tcW w:w="95" w:type="dxa"/>
            <w:tcBorders/>
            <w:shd w:fill="FFFFFF" w:val="clear"/>
            <w:vAlign w:val="center"/>
          </w:tcPr>
          <w:p>
            <w:pPr>
              <w:pStyle w:val="TableContents"/>
              <w:bidi w:val="0"/>
              <w:spacing w:before="0" w:after="283"/>
              <w:jc w:val="left"/>
              <w:rPr/>
            </w:pPr>
            <w:r>
              <w:rPr/>
              <w:t> </w:t>
            </w:r>
          </w:p>
        </w:tc>
      </w:tr>
      <w:tr>
        <w:trPr/>
        <w:tc>
          <w:tcPr>
            <w:tcW w:w="3650"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 and diluted net income (loss)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(0.19</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Nonvested shares which have been issued and were outstanding as of July 31, 2025 totaling 370,720 were not included in the computation of basic and diluted net loss per share for the nine months ended July 31, 2025 (because to include such shares would have been antidilutive, or in other words, to do so would have reduced the net loss per share for those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Redeemable restricted common stock totaling 642,199 shares, issued July 7, 2025 and outstanding as of July 31, 2026 and 2025, were included in the computation of basic and diluted net income per share for the three months and nine months ended July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370" w:type="dxa"/>
        <w:jc w:val="left"/>
        <w:tblInd w:w="0" w:type="dxa"/>
        <w:tblLayout w:type="fixed"/>
        <w:tblCellMar>
          <w:top w:w="0" w:type="dxa"/>
          <w:left w:w="0" w:type="dxa"/>
          <w:bottom w:w="0" w:type="dxa"/>
          <w:right w:w="0" w:type="dxa"/>
        </w:tblCellMar>
      </w:tblPr>
      <w:tblGrid>
        <w:gridCol w:w="350"/>
        <w:gridCol w:w="3020"/>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30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and Credit Concentrations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provides credit, in the normal course of business, to various commercial enterprises, governmental entities and not</w:t>
        <w:noBreakHyphen/>
        <w:t>for</w:t>
        <w:noBreakHyphen/>
        <w:t>profit organizations. Concentration of credit risk with respect to trade receivables is normally limited due to the Company’s large number of customers. The Company also manages exposure to credit risk through credit approvals, credit limits and monitoring procedures. Management believes that credit risks as of July 31, 2026 have been adequately provided for in the condensed consolidated financial statements. The Company includes all entities under common ownership for the purpose of calculating business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and nine months ended July 31, 2026, 12.3% and 14.8%, respectively, of consolidated net sales were attributable to one distributor customer. For the three months ended July 31, 2026, 10.7% of consolidated net sales were attributable to another distributor customer. For the three months and nine months ended July 31, 2025, 20.5% and 19.4%, respectively, of consolidated net sales were attributable to one distributor customer.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350"/>
        <w:gridCol w:w="1820"/>
      </w:tblGrid>
      <w:tr>
        <w:trPr/>
        <w:tc>
          <w:tcPr>
            <w:tcW w:w="35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(11)</w:t>
            </w:r>
          </w:p>
        </w:tc>
        <w:tc>
          <w:tcPr>
            <w:tcW w:w="182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Segment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Operating segments are defined as components of an enterprise for which separate financial information is evaluated regularly by the Chief Operating Decision Maker (“CODM”), who makes decisions about allocating resources and assessing performance, as described in accordance with U.S. generally accepted accounting principles. The Company’s CODM is its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has identified a single reportable segment for purposes of segment reporting and manages the business activities of the single operating segment on a consolidated basis. The Company’s single operating segment derives revenues from sales of its fiber optic and copper data communication cabling and connectivity solutions in the enterprise market and various harsh environment and specialty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Financial information is provided to the CODM primarily on a consolidated basis. The CODM evaluates the Company’s financial performance and makes key operating decisions, including the allocation of resources, based primarily on consolidated net sales, consolidated operating income (loss) and net income (loss). The Company’s financial statements provide a comprehensive view of its overall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selected financial information with respect to the Company's single reportable segment, including significant single reportable segment expenses that are regularly provided to the CODM:</w:t>
      </w:r>
    </w:p>
    <w:p>
      <w:pPr>
        <w:pStyle w:val="TextBody"/>
        <w:bidi w:val="0"/>
        <w:spacing w:before="0" w:after="0"/>
        <w:ind w:left="0" w:right="0" w:hanging="0"/>
        <w:jc w:val="left"/>
        <w:rPr>
          <w:caps w:val="false"/>
          <w:smallCaps w:val="false"/>
        </w:rPr>
      </w:pPr>
      <w:r>
        <w:rPr>
          <w:caps w:val="false"/>
          <w:smallCaps w:val="false"/>
        </w:rPr>
        <w:t> </w:t>
      </w:r>
    </w:p>
    <w:tbl>
      <w:tblPr>
        <w:tblW w:w="9620" w:type="dxa"/>
        <w:jc w:val="left"/>
        <w:tblInd w:w="0" w:type="dxa"/>
        <w:tblLayout w:type="fixed"/>
        <w:tblCellMar>
          <w:top w:w="0" w:type="dxa"/>
          <w:left w:w="0" w:type="dxa"/>
          <w:bottom w:w="0" w:type="dxa"/>
          <w:right w:w="0" w:type="dxa"/>
        </w:tblCellMar>
      </w:tblPr>
      <w:tblGrid>
        <w:gridCol w:w="4760"/>
        <w:gridCol w:w="60"/>
        <w:gridCol w:w="125"/>
        <w:gridCol w:w="950"/>
        <w:gridCol w:w="80"/>
        <w:gridCol w:w="60"/>
        <w:gridCol w:w="125"/>
        <w:gridCol w:w="950"/>
        <w:gridCol w:w="80"/>
        <w:gridCol w:w="60"/>
        <w:gridCol w:w="125"/>
        <w:gridCol w:w="950"/>
        <w:gridCol w:w="80"/>
        <w:gridCol w:w="60"/>
        <w:gridCol w:w="125"/>
        <w:gridCol w:w="950"/>
        <w:gridCol w:w="80"/>
      </w:tblGrid>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Nine Months Ended</w:t>
            </w:r>
          </w:p>
        </w:tc>
        <w:tc>
          <w:tcPr>
            <w:tcW w:w="8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9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80" w:type="dxa"/>
            <w:tcBorders/>
            <w:vAlign w:val="center"/>
          </w:tcPr>
          <w:p>
            <w:pPr>
              <w:pStyle w:val="TableContents"/>
              <w:bidi w:val="0"/>
              <w:spacing w:before="0" w:after="283"/>
              <w:jc w:val="left"/>
              <w:rPr/>
            </w:pPr>
            <w:r>
              <w:rPr/>
              <w:t> </w:t>
            </w:r>
          </w:p>
        </w:tc>
      </w:tr>
      <w:tr>
        <w:trPr/>
        <w:tc>
          <w:tcPr>
            <w:tcW w:w="47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ind w:left="0" w:right="0" w:hanging="0"/>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24,297,022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19,916,919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62,941,623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53,209,284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goods sold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15,202,314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13,597,608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40,882,703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36,928,838</w:t>
            </w:r>
          </w:p>
        </w:tc>
        <w:tc>
          <w:tcPr>
            <w:tcW w:w="80" w:type="dxa"/>
            <w:tcBorders/>
            <w:shd w:fill="FFFFFF" w:val="clear"/>
            <w:vAlign w:val="center"/>
          </w:tcPr>
          <w:p>
            <w:pPr>
              <w:pStyle w:val="TableContents"/>
              <w:bidi w:val="0"/>
              <w:spacing w:before="0" w:after="283"/>
              <w:jc w:val="left"/>
              <w:rPr/>
            </w:pPr>
            <w:r>
              <w:rPr/>
              <w:t> </w:t>
            </w:r>
          </w:p>
        </w:tc>
      </w:tr>
      <w:tr>
        <w:trPr/>
        <w:tc>
          <w:tcPr>
            <w:tcW w:w="4760"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Employee and contracted sales personnel-related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4,795,818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3,855,114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12,627,619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11,296,809</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Shipping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705,288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526,574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1,771,427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1,428,902</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Travel and entertainment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167,751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572,046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478,494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Professional fees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126,132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340,370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428,644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(1)</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1,190,323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1,104,227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3,540,255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3,366,677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2,111,632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562,474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3,207,203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(719,080</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(247,112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(260,002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(692,205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(772,559</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(8,098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19,485</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net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(244,952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(256,120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(700,303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(753,074</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income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1,866,680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306,354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2,506,900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(1,472,154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31,313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1,858,117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301,886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2,515,405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(1,503,467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(1) Other is comprised of other segment SG&amp;A expenses including certain public company expenses, corporate insurance premiums not included in employee and contracted sales personnel-related expenses, marketing expenses, certain office and manufacturing facility expenses and all other SG&amp;A expenses not individually set forth in the table above, as well as royalty expense, net and 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Information related to the Company’s geographical distribution of revenues is disclosed in note 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350"/>
        <w:gridCol w:w="180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(12)</w:t>
            </w:r>
          </w:p>
        </w:tc>
        <w:tc>
          <w:tcPr>
            <w:tcW w:w="18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Revenue Recognition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Revenues consist of product sales that are recognized at a specific point in time under the core principle of recognizing revenue when control transfers to the customer.  The Company considers customer purchase orders, governed by master sales agreements or the Company’s standard terms and conditions, to be the contract with the customer.  For each contract, the promise to transfer the control of the products, each of which is individually distinct, is considered to be the identified performance obligation. The Company evaluates each customer’s credit risk when determining whether to accept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determining transaction prices, the Company evaluates whether fixed order prices are subject to adjustment to determine the net consideration to which the Company expects to be entitled. Contracts do not include financing components, as payment terms are generally due 30 to 90 days after shipment. Taxes assessed by governmental authorities and collected from the customer including, but not limited to, sales and use taxes and value-added taxes, are not included in the transaction price and are not included in net sales.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recognizes revenue at the point in time when products are shipped or delivered from its manufacturing facility to its customer, in accordance with the agreed-upon shipping terms.  Since the Company typically invoices the customer at the same time that performance obligations are satisfied, no contract assets are recognized. The Company’s contract liability represents advance consideration received from customers prior to transfer of the product. This liability was $252,841 as of July 31, 2026 and $68,386 as of October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Sales to certain customers are made pursuant to agreements that provide price adjustments and limited return rights with respect to the Company’s products.  The Company maintains a reserve for estimated future price adjustment claims, rebates and returns as a refund liability, included in accounts payable and accrued expenses, and the Company excludes such amounts from net sales. The Company’s refund liability was $231,425 as of July 31, 2026 and $403,816 as of October 31, 2025.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offers standard product warranty coverage which provides assurance that its products will conform to contractually agreed-upon specifications for a limited period from the date of shipment. Separately-priced warranty coverage is not offered. The warranty claim is generally limited to a credit equal to the purchase price or a promise to repair or replace the product for a specified period of time at no additional charge.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shipping and handling activities related to contracts with customers as a cost to fulfill its promise to transfer control of the related product.  Shipping and handling costs are included in selling, general and administrative expenses in the accompanying Condensed Consolidated Statements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incurs expenses for sales incentives to acquire customer contracts that are directly attributable to the contracts.  The incentives are expensed as selling expenses during the period that the related products are transferred to customers.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rPr>
      </w:pPr>
      <w:r>
        <w:rPr>
          <w:rFonts w:ascii="Times New Roman" w:hAnsi="Times New Roman"/>
          <w:i/>
          <w:caps w:val="false"/>
          <w:smallCaps w:val="false"/>
          <w:sz w:val="20"/>
        </w:rPr>
        <w:t>Disaggregation of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presents net sales attributable to the United States and all other countries in total for the three months and nine months ended July 31, 2026 and 2025:</w:t>
      </w:r>
    </w:p>
    <w:p>
      <w:pPr>
        <w:pStyle w:val="TextBody"/>
        <w:bidi w:val="0"/>
        <w:spacing w:before="0" w:after="0"/>
        <w:ind w:left="0" w:right="0" w:hanging="0"/>
        <w:jc w:val="left"/>
        <w:rPr/>
      </w:pPr>
      <w:r>
        <w:rPr/>
        <w:t> </w:t>
      </w:r>
    </w:p>
    <w:tbl>
      <w:tblPr>
        <w:tblW w:w="6855" w:type="dxa"/>
        <w:jc w:val="left"/>
        <w:tblInd w:w="0" w:type="dxa"/>
        <w:tblLayout w:type="fixed"/>
        <w:tblCellMar>
          <w:top w:w="0" w:type="dxa"/>
          <w:left w:w="0" w:type="dxa"/>
          <w:bottom w:w="0" w:type="dxa"/>
          <w:right w:w="0" w:type="dxa"/>
        </w:tblCellMar>
      </w:tblPr>
      <w:tblGrid>
        <w:gridCol w:w="2075"/>
        <w:gridCol w:w="60"/>
        <w:gridCol w:w="125"/>
        <w:gridCol w:w="950"/>
        <w:gridCol w:w="60"/>
        <w:gridCol w:w="60"/>
        <w:gridCol w:w="125"/>
        <w:gridCol w:w="950"/>
        <w:gridCol w:w="60"/>
        <w:gridCol w:w="60"/>
        <w:gridCol w:w="125"/>
        <w:gridCol w:w="950"/>
        <w:gridCol w:w="60"/>
        <w:gridCol w:w="60"/>
        <w:gridCol w:w="125"/>
        <w:gridCol w:w="950"/>
        <w:gridCol w:w="60"/>
      </w:tblGrid>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60"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ind w:left="0" w:right="0" w:hanging="0"/>
              <w:jc w:val="left"/>
              <w:rPr/>
            </w:pPr>
            <w:r>
              <w:rPr/>
              <w:t> </w:t>
            </w:r>
          </w:p>
        </w:tc>
      </w:tr>
      <w:tr>
        <w:trPr/>
        <w:tc>
          <w:tcPr>
            <w:tcW w:w="20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19,187,791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15,949,437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48,004,056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41,819,451</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Outside the United States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5,109,231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3,967,482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14,937,567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11,389,833</w:t>
            </w:r>
          </w:p>
        </w:tc>
        <w:tc>
          <w:tcPr>
            <w:tcW w:w="60" w:type="dxa"/>
            <w:tcBorders/>
            <w:shd w:fill="FFFFFF" w:val="clear"/>
            <w:vAlign w:val="center"/>
          </w:tcPr>
          <w:p>
            <w:pPr>
              <w:pStyle w:val="TableContents"/>
              <w:bidi w:val="0"/>
              <w:spacing w:before="0" w:after="283"/>
              <w:jc w:val="left"/>
              <w:rPr/>
            </w:pPr>
            <w:r>
              <w:rPr/>
              <w:t> </w:t>
            </w:r>
          </w:p>
        </w:tc>
      </w:tr>
      <w:tr>
        <w:trPr/>
        <w:tc>
          <w:tcPr>
            <w:tcW w:w="207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24,297,022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19,916,919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62,941,623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53,209,284</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685" w:type="dxa"/>
        <w:jc w:val="left"/>
        <w:tblInd w:w="0" w:type="dxa"/>
        <w:tblLayout w:type="fixed"/>
        <w:tblCellMar>
          <w:top w:w="0" w:type="dxa"/>
          <w:left w:w="0" w:type="dxa"/>
          <w:bottom w:w="0" w:type="dxa"/>
          <w:right w:w="0" w:type="dxa"/>
        </w:tblCellMar>
      </w:tblPr>
      <w:tblGrid>
        <w:gridCol w:w="350"/>
        <w:gridCol w:w="333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(13)</w:t>
            </w:r>
          </w:p>
        </w:tc>
        <w:tc>
          <w:tcPr>
            <w:tcW w:w="333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Redeemable Restricted Common Stock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issued 642,199 shares of redeemable restricted common stock to Lightera, LLC (“Lightera”) for $2.0 million in cash consideration on July 7, 2025 pursuant to a Stock Purchase Agreement (the “SPA”). The SPA provides the Company with the right to repurchase the shares issued to Lightera at a price equal to the greater of the price per share of common stock paid at issuance or the average price per share of common stock as traded for the ten trading days ending on the business day immediately prior to the date on which the call notice is delivered (the “Call Option”). Similarly, Lightera has a corresponding right to require the Company repurchase the shares issued using the same pricing mechanism included in the Call Option (the “Put Option”).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Contemporaneous with the SPA, the Company and Lightera entered into a Joint Collaboration Agreement (the “Collaboration Agreement”) on the same date, establishing a strategic collaboration aimed at expanding product offerings to customers, increasing customer engagement and enhancing customer service for both new and existing customers, which includes certain Lightera products being offered and sold by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Call Option and the Put Option cannot be exercised for a period of two years from July 7, 2025 unless accelerated based on contingent events, including but not limited to the termination of the Collaboration Agreement, a change-in-control of the Company, or material acquisition by the Company. Unless the term of the Collaboration Agreement is extended beyond such date, the Call Option and the Put Option will generally expire 90 days following July 7, 2027, if they are not exercised. Lightera is restricted from transferring or disposing of the shares of common stock before the Call Option and Put Option become exercisable.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Put Option becomes exercisable on July 7, 2027, if not sooner, upon the occurrence of certain events, or later pursuant to the extension of the Collaborative Agreement as described above. The exercise of the Put Option is outside of the Company’s control. Therefore, the common stock issued to Lightera is determined to be redeemable with the passage of time and thus recorded outside of permanent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Call Option and the Put Option can be exercised one or more times during the permitted exercise period, but the total number of shares of redeemable common stock purchased cannot exceed the original 642,199 shares of redeemable common stock originally issued to Lightera on July 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may be obligated to cumulatively purchase a sufficient number of redeemable common stock through one or more exercises of the Call Option and the Put Option up to a cap equal to the value of Lightera’s total original investment of $2.0 million, using a price per share of redeemable common stock equal to the greater of the price per share of redeemable common stock paid at issuance, or the average price per share of redeemable common stock as traded for the ten trading days ending on the business day immediately prior to the date any individual Call Option or Put Option is exercised.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Generally, the maximum redemption value of the redeemable common stock is $2.0 million; however, in the event Lightera exercises the Put Option for a number of shares of redeemable common stock that would result in a redemption value greater than Lightera’s total investment, the Company may be required to assist Lightera with the disposition of any remaining shares of redeemable common stock in excess of $2.0 million in value, or in certain limited circumstances, the Company may be required to (i) register the remaining shares of redeemable common stock enabling Lightera to publicly trade these shares or (ii) purchase the remaining shares by issuing a promissory note to Lightera. As a result, the Company has recorded the value of the redeemable common stock at the average stock price for the ten days preceding the balance sheet date multiplied by the total number of the redeemable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initially recorded the redeemable common stock at $1,907,517, net of issuance costs of $92,483.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While not currently redeemable, the redeemable common stock is probable of becoming redeemable pursuant to U.S. generally accepted accounting principles, and thus the Company has elected to recognize the redeemable common stock at redemption value of $9.5 million as of July 31, 2026 and $5.1 million as of October 31, 2025. The corresponding changes in redemption value are recognized in retained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evaluated the Call Option and Put Option and concluded that these embedded features were not indexed to the underlying equity-like instruments and are required to be bifurcated and recognized as a compound derivative instrument. As of the date of issuance and July 31, 2026, the Company concluded the fair value of the bifurcated compound derivative was insignificant as the strike price adjusts with the movement of the trading price of the underlying 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555" w:type="dxa"/>
        <w:jc w:val="left"/>
        <w:tblInd w:w="0" w:type="dxa"/>
        <w:tblLayout w:type="fixed"/>
        <w:tblCellMar>
          <w:top w:w="0" w:type="dxa"/>
          <w:left w:w="0" w:type="dxa"/>
          <w:bottom w:w="0" w:type="dxa"/>
          <w:right w:w="0" w:type="dxa"/>
        </w:tblCellMar>
      </w:tblPr>
      <w:tblGrid>
        <w:gridCol w:w="350"/>
        <w:gridCol w:w="1205"/>
      </w:tblGrid>
      <w:tr>
        <w:trPr/>
        <w:tc>
          <w:tcPr>
            <w:tcW w:w="3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(14)</w:t>
            </w:r>
          </w:p>
        </w:tc>
        <w:tc>
          <w:tcPr>
            <w:tcW w:w="12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is involved in various claims, legal actions and regulatory reviews arising in the ordinary course of business. In the opinion of management, the ultimate disposition of these matters will not have a material adverse effect on the Company’s financial position, results of operations 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105" w:type="dxa"/>
        <w:jc w:val="left"/>
        <w:tblInd w:w="0" w:type="dxa"/>
        <w:tblLayout w:type="fixed"/>
        <w:tblCellMar>
          <w:top w:w="0" w:type="dxa"/>
          <w:left w:w="0" w:type="dxa"/>
          <w:bottom w:w="0" w:type="dxa"/>
          <w:right w:w="0" w:type="dxa"/>
        </w:tblCellMar>
      </w:tblPr>
      <w:tblGrid>
        <w:gridCol w:w="395"/>
        <w:gridCol w:w="3710"/>
      </w:tblGrid>
      <w:tr>
        <w:trPr/>
        <w:tc>
          <w:tcPr>
            <w:tcW w:w="3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(15) </w:t>
            </w:r>
          </w:p>
        </w:tc>
        <w:tc>
          <w:tcPr>
            <w:tcW w:w="371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New Accounting Standards Not Yet Adopted</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the FASB issued Accounting Standards Update 2023-09, </w:t>
      </w:r>
      <w:r>
        <w:rPr>
          <w:rFonts w:ascii="Times New Roman" w:hAnsi="Times New Roman"/>
          <w:i/>
          <w:caps w:val="false"/>
          <w:smallCaps w:val="false"/>
          <w:sz w:val="20"/>
        </w:rPr>
        <w:t>Income Taxes (Topic 740): Improvements to Income Tax Disclosures</w:t>
      </w:r>
      <w:r>
        <w:rPr>
          <w:rFonts w:ascii="Times New Roman" w:hAnsi="Times New Roman"/>
          <w:caps w:val="false"/>
          <w:smallCaps w:val="false"/>
          <w:sz w:val="20"/>
        </w:rPr>
        <w:t xml:space="preserve"> (“ASU 2023-09”).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with early adoption permitted. The Company is currently evaluating the impact ASU 2023-09 will have on its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Accounting Standards Update 2024-03,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 (Subtopic 220-40)</w:t>
      </w:r>
      <w:r>
        <w:rPr>
          <w:rFonts w:ascii="Times New Roman" w:hAnsi="Times New Roman"/>
          <w:caps w:val="false"/>
          <w:smallCaps w:val="false"/>
          <w:sz w:val="20"/>
        </w:rPr>
        <w:t xml:space="preserve"> (“ASU 2024-03”). The objective of ASU 2024-03 is to improve disclosures about a public entity's expenses, primarily through additional disaggregation of income statement expenses. In January 2025, the FASB further clarified the effective date of ASU 2024-03 with the issuance of Accounting Standards Update 2025-01, </w:t>
      </w:r>
      <w:r>
        <w:rPr>
          <w:rFonts w:ascii="Times New Roman" w:hAnsi="Times New Roman"/>
          <w:i/>
          <w:caps w:val="false"/>
          <w:smallCaps w:val="false"/>
          <w:sz w:val="20"/>
        </w:rPr>
        <w:t>Income Statement</w:t>
      </w:r>
      <w:r>
        <w:rPr>
          <w:rFonts w:ascii="Times New Roman" w:hAnsi="Times New Roman"/>
          <w:caps w:val="false"/>
          <w:smallCaps w:val="false"/>
          <w:sz w:val="20"/>
        </w:rPr>
        <w:t> — </w:t>
      </w:r>
      <w:r>
        <w:rPr>
          <w:rFonts w:ascii="Times New Roman" w:hAnsi="Times New Roman"/>
          <w:i/>
          <w:caps w:val="false"/>
          <w:smallCaps w:val="false"/>
          <w:sz w:val="20"/>
        </w:rPr>
        <w:t>Reporting Comprehensive Income</w:t>
      </w:r>
      <w:r>
        <w:rPr>
          <w:rFonts w:ascii="Times New Roman" w:hAnsi="Times New Roman"/>
          <w:caps w:val="false"/>
          <w:smallCaps w:val="false"/>
          <w:sz w:val="20"/>
        </w:rPr>
        <w:t> — </w:t>
      </w:r>
      <w:r>
        <w:rPr>
          <w:rFonts w:ascii="Times New Roman" w:hAnsi="Times New Roman"/>
          <w:i/>
          <w:caps w:val="false"/>
          <w:smallCaps w:val="false"/>
          <w:sz w:val="20"/>
        </w:rPr>
        <w:t>Expense Disaggregation Disclosures (Subtopic 220-40)</w:t>
      </w:r>
      <w:r>
        <w:rPr>
          <w:rFonts w:ascii="Times New Roman" w:hAnsi="Times New Roman"/>
          <w:caps w:val="false"/>
          <w:smallCaps w:val="false"/>
          <w:sz w:val="20"/>
        </w:rPr>
        <w:t xml:space="preserve"> (“ASU 2025-01”). ASU 2024-03 is effective for annual periods beginning after December 15, 2026, and interim periods within annual reporting periods beginning after December 15, 2027. Early adoption is permitted and may be applied either on a prospective or retrospective basis. The Company is currently evaluating the impact ASU 2024-03 will have on its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July 2025, the FASB issued Accounting Standards Update 2025-05,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xml:space="preserve"> (“ASU 2025-05”). The amendments in ASU 2025-05 provide entities with a practical expedient to simplify the estimation of expected credit losses on current accounts receivable and current contract assets that arise from transactions accounted for under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606”) by allowing the assumption that current conditions as of the balance sheet date will not change during the remaining life of the asset. ASU 2025-05 is effective for annual periods beginning after December 15, 2025 and interim periods within those annual reporting periods, with early adoption permitted. The adoption of ASU 2025-05 is not expected to have a material impact on the Company's results of operations, financial position or liquidity or its related financial statement disclosures.</w:t>
      </w:r>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December 2025, the FASB issued Accounting Standards Update 2025-11, </w:t>
      </w:r>
      <w:r>
        <w:rPr>
          <w:rFonts w:ascii="Times New Roman" w:hAnsi="Times New Roman"/>
          <w:i/>
          <w:caps w:val="false"/>
          <w:smallCaps w:val="false"/>
          <w:sz w:val="20"/>
        </w:rPr>
        <w:t xml:space="preserve">Interim Reporting (Topic 270): Narrow-Scope Improvements </w:t>
      </w:r>
      <w:r>
        <w:rPr>
          <w:rFonts w:ascii="Times New Roman" w:hAnsi="Times New Roman"/>
          <w:caps w:val="false"/>
          <w:smallCaps w:val="false"/>
          <w:sz w:val="20"/>
        </w:rPr>
        <w:t>(“ASU 2025-11”). This update clarifies the applicability, form and content, and interim disclosure requirements in ASC Topic 270 and enhances navigability of the interim reporting guidance. ASU 2025-11 also establishes a principle under which an entity must disclose events since the end of the last annual reporting period that have a material impact on the entity. ASU 2025-11 is effective for interim periods within annual reporting periods beginning after December 15, 2027, with early adoption permitted. The Company is currently evaluating the impact ASU 2025-11 will have on its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54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December 2025, the FASB issued Accounting Standards Update 2025-12, </w:t>
      </w:r>
      <w:r>
        <w:rPr>
          <w:rFonts w:ascii="Times New Roman" w:hAnsi="Times New Roman"/>
          <w:i/>
          <w:caps w:val="false"/>
          <w:smallCaps w:val="false"/>
          <w:sz w:val="20"/>
        </w:rPr>
        <w:t>Codification Improvements</w:t>
      </w:r>
      <w:r>
        <w:rPr>
          <w:rFonts w:ascii="Times New Roman" w:hAnsi="Times New Roman"/>
          <w:caps w:val="false"/>
          <w:smallCaps w:val="false"/>
          <w:sz w:val="20"/>
        </w:rPr>
        <w:t>, (“ASU 2025-12”). ASU 2025-12 includes changes that clarify, correct, or otherwise improve certain components of the Accounting Standards Codification. The improvements consist of narrow-scope amendments, technical corrections, clarification of existing guidance, and updates to clarify the appropriate scope and application of certain disclosure requirements. ASU 2025-12 is effective for annual periods beginning after December 15, 2026, and interim periods within those annual reporting periods, with early adoption permitted. The Company is currently evaluating the impact ASU 2025-12 will have on its results of operations, financial position or liquidity or its related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There are no other new accounting standards issued, but not yet adopted by us, which are expected to materially impact our financial position, operating results or financial statement disclosures.</w:t>
      </w:r>
    </w:p>
    <w:p>
      <w:pPr>
        <w:pStyle w:val="TextBody"/>
        <w:bidi w:val="0"/>
        <w:spacing w:before="0" w:after="0"/>
        <w:ind w:left="54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0" w:name="item_2"/>
      <w:bookmarkEnd w:id="10"/>
      <w:r>
        <w:rPr>
          <w:rFonts w:ascii="Times New Roman" w:hAnsi="Times New Roman"/>
          <w:b/>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Forward-Looking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Form 10-Q may contain certain forward-looking information within the meaning of the federal securities laws. The forward-looking information may include, among other information, (i) statements concerning our outlook for the future, (ii) statements of belief, anticipation or expectation, (iii) future plans, strategies or anticipated events, and (iv) similar information and statements concerning matters that are not historical facts. Such forward-looking information is subject to known and unknown variables, uncertainties, contingencies and risks that may cause actual events or results to differ materially from our expectations. Such known and unknown variables, uncertainties, contingencies and risks (collectively, “factors”) may also adversely affect Optical Cable Corporation and its subsidiaries (collectively, the “Company” or “OCC®”), the Company’s future results of operations and future financial condition, and/or the future equity value of the Company. Factors that could cause or contribute to such differences from our expectations or that could adversely affect the Company include, but are not limited to: the level of sales to key customers, including distributors; timing of certain projects and purchases by key customers; economic conditions that affect the telecommunications sector, the data communications sector, certain technology sectors and/or certain industry market sectors (for example, including, but not limited to: enterprise/commercial, data center, and various specialty markets, including military, industrial, broadcast, mining, petrochemical, renewable energy and wireless carrier industry market sectors); corporate and/or government spending on information technology; actions by competitors; fluctuations in the price and/or availability of raw materials or products (including, but not limited to, optical fiber, copper, gold and other precious metals, plastics, other materials and products); fluctuations in transportation costs; our dependence on customized equipment for the manufacture of certain of our products in certain production facilities; our ability to protect our proprietary manufacturing technology; market conditions influencing prices or pricing in one or more of the markets in which we participate, including the impact of increased competition; our dependence on a limited number of suppliers for certain product components; the loss of or conflict with one or more key suppliers or customers; an adverse outcome in any litigation, claims, and other actions or disputes, and potential litigation, claims, and other actions or disputes against us or with us; an adverse outcome in any regulatory reviews and audits and potential regulatory reviews and audits; adverse changes in state tax laws and/or positions taken by state taxing authorities affecting us; technological changes and introductions of new competing products; changes in end-user preferences for competing technologies relative to our product offering; economic conditions that affect U.S.-based manufacturers; economic conditions or changes in relative currency strengths (for example, the strengthening of the U.S. dollar relative to certain foreign currencies), and import and/or export tariffs imposed by the U.S. and other countries that affect certain geographic markets, industry market sectors, and/or the economy as a whole; changes in demand for our products from certain competitors for which we provide private label connectivity products; changes in the mix of products sold during any given period (due to, among other things, seasonality or varying strength or weaknesses in particular markets in which we participate) which may impact gross profits and gross profit margins or net sales; variations in orders and production volumes affecting fixed-costs coverage and production efficiencies which may impact gross profits and gross profit margins; variations in orders and production volumes of hybrid cables (fiber and copper) with high copper content, which tend to have lower gross profit margins; significant variations in sales resulting from: (i) high volatility within various geographic markets, within targeted markets and industries, for certain types of products, and/or with certain customers (whether related to the market generally or to specific customers’ business in particular), (ii) market variations in existing product inventory levels available, generally or in certain markets, impacting sales orders for products, (iii) timing of large sales orders, and (iv) sales concentration among a limited number of customers in certain markets, particularly the wireless carrier market; terrorist attacks or acts of war, any current or potential future military conflicts, and acts of civil unrest; cold wars and economic sanctions as a result of these activities; changes in the level of spending by the United States government, including, but not limited to military spending; ability to recruit and retain key personnel (including production personnel); poor labor relations; increasing labor costs; delays, extended lead times and/or changes in availability of needed raw materials or products (including, but not limited to, optical fiber), equipment and/or supplies; shipping and other logistics challenges; impact of inflation on costs, including raw materials and labor, and ability to pass along any increased costs to customers; impact of import and/or export tariffs imposed by the U.S. and other countries on costs, and ability to pass along any increased costs to customers; impact of higher interest rates increasing the cost of capital; impact of cybersecurity risks and incidents and the related actual or potential costs and consequences of such risks and incidents, including costs and regulations to limit such risks; the impact of data privacy laws, including any applicable international privacy laws, and the related actual or potential costs and consequences; the impact of changes in accounting policies and related costs of compliance, including changes by the Securities and Exchange Commission (“SEC”), the Public Company Accounting Oversight Board (“PCAOB”), the Financial Accounting Standards Board (“FASB”), and/or the International Accounting Standards Board (“IASB”); our ability to continue to successfully comply with, and the cost of compliance with, the provisions of Section 404 of the Sarbanes-Oxley Act of 2002 or any revisions to that act which apply to us; the impact of changes and potential changes in federal or state laws and regulations adversely affecting our business and/or which result in increases in our direct and indirect costs, including our direct and indirect costs of compliance with such laws and regulations; rising healthcare costs; impact of new or changed government laws and regulations on healthcare costs; the impact of changes in state or federal tax laws and regulations increasing our costs and/or impacting the net return to investors owning our shares; any changes in the status of our compliance with covenants, if any, with our lenders; our continued ability to maintain and/or secure future debt financing and/or equity financing to adequately finance our ongoing operations; the impact of any redemption of redeemable common stock; the impact of future consolidation among competitors and/or among customers adversely affecting our position with our customers and/or our market position; actions by customers or suppliers adversely affecting us in reaction to the expansion of our product offering in any manner, including, but not limited to, by offering products that compete with our customers or suppliers, and/or by entering into alliances with, making investments in or with, and/or acquiring parties that compete with and/or have conflicts with our customers or suppliers; voluntary or involuntary delisting of the Company’s common stock from any exchange on which it is traded; the deregistration by the Company from SEC reporting requirements as a result of the small number of holders of the Company’s common stock; adverse reactions by customers, vendors or other service providers to unsolicited proposals regarding the ownership or management of the Company; the additional costs of considering, responding to and possibly defending our position on unsolicited proposals regarding the ownership or management of the Company; direct and indirect impacts of weather, natural disasters and/or epidemic, pandemic or endemic diseases in the areas of the world in which we operate, market our products and/or acquire raw materials or products including, but not limited to: impacts on demand for our products, impacts on supply chains, impacts on our manufacturing capabilities, labor constraints impacting our production volumes and costs, and other impacts on our sales and/or costs; any present or future government mandates, travel restrictions, shutdowns or other regulations regarding any epidemic, pandemic or endemic diseases; an increase in the number of shares of the Company’s common stock issued and outstanding; economic downturns generally and/or in one or more of the markets in which we operate; changes in market demand, exchange rates, productivity, market dynamics, market confidence, macroeconomic and/or other economic conditions in the areas of the world in which we operate and market our products; and our success in managing the risks involved in the foregoing.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caution readers that the foregoing list of important factors is not exclusive. Furthermore, we incorporate by reference those factors included in current reports on Form 8</w:t>
        <w:noBreakHyphen/>
        <w:t>K and/or in our other filings.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Dollar amounts presented in the following discussion have been rounded to the nearest hundred thousand, except in the case of amounts less than one million and except in the case of the table set forth in the “Results of Operations” section, the amounts which in both cases have been rounded to the nearest thousand.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Overview of Optical Cable Corporation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Optical Cable Corporation (or OCC®) is a leading manufacturer of a broad range of fiber optic and copper data communication cabling and connectivity solutions primarily for the enterprise, data center, and various harsh environment and specialty markets, offering integrated suites of high quality products which operate as a system solution or seamlessly integrate with other components. Our product offerings include designs for uses ranging from enterprise networks, data centers, residential, campus and Passive Optical LAN (POL) installations to customized products for specialty applications and harsh environments, including military, industrial, mining, petrochemical, renewable energy and broadcast applications. Our products include fiber optic and copper cabling, hybrid cabling (which includes fiber optic and copper elements in a single cable), fiber optic and copper connectors, specialty fiber optic, copper and hybrid connectors, fiber optic and copper patch cords, pre-terminated fiber optic and copper cable trunks and assemblies, racks, cabinets, data center and datacom enclosures, patch panels, face plates, multimedia boxes, fiber optic reels and accessories and other cable and connectivity management accessories, and are designed to meet the most demanding needs of end-users, delivering a high degree of reliability and outstanding performance characteristics.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lineRule="auto" w:line="288"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OCC® is internationally recognized for pioneering the design and production of fiber optic cables for the most demanding military field applications, as well as of fiber optic cables suitable for both indoor and outdoor use, and creating a broad product offering built on the evolution of these fundamental technologies. OCC is also internationally recognized for pioneering the development of innovative copper connectivity technology and designs used to meet industry copper connectivity data communications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Founded in 1983, Optical Cable Corporation is headquartered in Roanoke, Virginia with offices, manufacturing and warehouse facilities located in Roanoke, Virginia, near Asheville, North Carolina, and near Dallas, Texas. We manufacture fiber optic cables at our Roanoke facility which is ISO 9001:2015 registered, manufacture enterprise connectivity products at our Asheville facility which is ISO 9001:2015 registered, and manufacture enterprise connectivity products and harsh environment and specialty connectivity products at our Dallas facility which is ISO 9001:2015 registered and MIL-STD-790G certified.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OCC designs, develops and manufactures, and markets and sells, fiber optic and hybrid cables for a broad range of enterprise, data center, harsh environment, wireless carrier and other specialty markets and applications. We refer to these products as our fiber optic cable offering. OCC designs, develops and manufactures, and markets and sells, fiber and copper connectivity products for a broad range of enterprise, commercial, data center, and residential applications. We refer to these products as our enterprise connectivity product offering. OCC designs, develops and manufactures, and markets and sells, a broad range of specialty fiber optic connectors and connectivity solutions principally for use in military, harsh environment and other specialty applications. We refer to these products as our harsh environment and specialty connectivity product offering.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market and sell the products manufactured at our Dallas facility through our wholly owned subsidiary Applied Optical Systems, Inc. (“AOS”) under the names Optical Cable Corporation and OCC® by the efforts of our integrated OCC sales team.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OCC team strives to provide top-tier communication solutions that are well suited for the specific needs and application requirements of our customers and the end-users of our systems—leveraging our technical expertise and broad fiber optic and copper data communication product offerings.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Optical Cable Corporation entered into a strategic collaboration agreement with Lightera, LLC (“Lightera”) on July 7, 2025 to expand product offerings and solutions—especially for the data center and enterprise sectors. As part of this strategic collaboration, OCC and Lightera have combined portions of the product portfolios of both companies to deliver additional integrated cabling and connectivity solution offerings, which includes certain Lightera products being offered and sold by OCC. In connection with this strategic collaboration, Lightera purchased 642,199 redeemable restricted shares of common stock from OCC, which represent approximately 7.3% of OCC’s outstanding common shares as of July 31,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Optical Cable Corporation™, OCC®, Procyon®, Superior Modular Products™, SMP Data Communications™, Applied Optical Systems™, Centric Solutions™ and associated logos are trademarks of Optical Cable Corporation. Lightera™ and associated logos are trademarks of Lightera, LLC.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Summary of Company Performance for Third Quarter of Fiscal Year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Consolidated net sales for the third quarter of fiscal year 2026 increased 22.0% to $24.3 million, compared to $19.9 million for the same period last year. Net sales for the third quarter of fiscal year 2026 increased 9.4% compared to $22.2 million for the second quarter of fiscal year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increased 43.9% to $9.1 million in the third quarter of fiscal year 2026, compared to $6.3 million for the third quarter of fiscal year 2025, and increased 19.8% when compared to $7.6 million for the second quarter of fiscal year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 margin (gross profit as a percentage of net sales) increased to 37.4% during the third quarter of fiscal year 2026, compared to 31.7% for the third quarter of fiscal year 2025, and compared to 34.2% for the second quarter of fiscal year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expenses were $7.0 million during the third quarter of fiscal year 2026, compared to $5.7 million for the same period last year. SG&amp;A expenses as a percentage of net sales were 28.7% during the third quarter of fiscal year 2026, compared to 28.8% during the same period in fiscal year 2025, and compared to 28.2% during the second quarter of fiscal year 2026.</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was $1.9 million, or $0.21 per share, during the third quarter of fiscal year 2026, compared to $302,000, or $0.04 per share, for the comparable period last year.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sell our products internationally and domestically to our customers which include major distributors, various regional and smaller distributors, original equipment manufacturers, value-added resellers, and others. All of our sales to customers outside of the United States are denominated in U.S. dollars. We can experience fluctuations in the percentage of net sales to customers outside of the United States and in the United States from period to period based on the timing of large orders, coupled with the impact of increases and decreases in sales to customers in various regions of the world. Sales outside of the U.S. can also be impacted by fluctuations in the exchange rate of the U.S. dollar compared to other currencies, as well as import and/or export tariffs imposed by the U.S. and other countries.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Net sales</w:t>
      </w:r>
      <w:r>
        <w:rPr>
          <w:rFonts w:ascii="Times New Roman" w:hAnsi="Times New Roman"/>
          <w:caps w:val="false"/>
          <w:smallCaps w:val="false"/>
          <w:sz w:val="20"/>
        </w:rPr>
        <w:t xml:space="preserve"> consist of gross sales of products by the Company and its subsidiaries on a consolidated basis less discounts, refunds and returns. Revenue is recognized at the time product is transferred to the customer (including distributors) at an amount that reflects the consideration expected to be received in exchange for the product. Our customers generally do not have the right of return unless a product is defective or damaged and is within the parameters of the product warranty in effect for the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Cost of goods sold </w:t>
      </w:r>
      <w:r>
        <w:rPr>
          <w:rFonts w:ascii="Times New Roman" w:hAnsi="Times New Roman"/>
          <w:caps w:val="false"/>
          <w:smallCaps w:val="false"/>
          <w:sz w:val="20"/>
        </w:rPr>
        <w:t>consists of the cost of materials and products, product warranty costs, compensation costs, and overhead and other costs related to our manufacturing operations. The largest percentage of costs included in cost of goods sold is attributable to costs of materials and products.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gross profit margin percentages are heavily dependent upon product mix on a quarterly basis and may vary based on changes in product mix. To the extent not impacted by product mix, gross profit margins tend to be higher when we achieve higher net sales levels, as certain fixed manufacturing costs are spread over higher sales and other manufacturing efficiencies are more easily achieved. Hybrid cables (containing fiber and copper) with higher copper content tend to have lower gross profit margins.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Selling, general and administrative expenses</w:t>
      </w:r>
      <w:r>
        <w:rPr>
          <w:rFonts w:ascii="Times New Roman" w:hAnsi="Times New Roman"/>
          <w:caps w:val="false"/>
          <w:smallCaps w:val="false"/>
          <w:sz w:val="20"/>
        </w:rPr>
        <w:t xml:space="preserve"> (“SG&amp;A expenses”) consist of the compensation costs for sales and marketing personnel, shipping costs, trade show expenses, customer support expenses, travel expenses, advertising, bad debt expense, compensation costs for administration and management personnel, legal, accounting, advisory and professional fees, costs incurred to settle litigation or claims and other actions against us, and other costs associated with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Royalty expense, net</w:t>
      </w:r>
      <w:r>
        <w:rPr>
          <w:rFonts w:ascii="Times New Roman" w:hAnsi="Times New Roman"/>
          <w:caps w:val="false"/>
          <w:smallCaps w:val="false"/>
          <w:sz w:val="20"/>
        </w:rPr>
        <w:t xml:space="preserve"> consists of royalty and related expenses, net of royalty income earned on licenses associated with our patented products,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Amortization of intangible assets</w:t>
      </w:r>
      <w:r>
        <w:rPr>
          <w:rFonts w:ascii="Times New Roman" w:hAnsi="Times New Roman"/>
          <w:caps w:val="false"/>
          <w:smallCaps w:val="false"/>
          <w:sz w:val="20"/>
        </w:rPr>
        <w:t xml:space="preserve"> consists of the amortization of the costs, including legal fees, associated with internally developed patents that have been granted. Amortization of intangible assets is calculated using the straight-line method over the estimated useful lives of the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Other income (expense), net </w:t>
      </w:r>
      <w:r>
        <w:rPr>
          <w:rFonts w:ascii="Times New Roman" w:hAnsi="Times New Roman"/>
          <w:caps w:val="false"/>
          <w:smallCaps w:val="false"/>
          <w:sz w:val="20"/>
        </w:rPr>
        <w:t>consists of interest expense and other miscellaneous income and expense items not directly attributable to our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sets forth and highlights fluctuations in selected line items from our condensed consolidated statements of operations for the periods indicated:</w:t>
      </w:r>
    </w:p>
    <w:p>
      <w:pPr>
        <w:pStyle w:val="TextBody"/>
        <w:bidi w:val="0"/>
        <w:spacing w:before="0" w:after="0"/>
        <w:ind w:left="0" w:right="0" w:hanging="0"/>
        <w:jc w:val="left"/>
        <w:rPr>
          <w:caps w:val="false"/>
          <w:smallCaps w:val="false"/>
        </w:rPr>
      </w:pPr>
      <w:r>
        <w:rPr>
          <w:caps w:val="false"/>
          <w:smallCaps w:val="false"/>
        </w:rPr>
        <w:t> </w:t>
      </w:r>
    </w:p>
    <w:tbl>
      <w:tblPr>
        <w:tblW w:w="9128" w:type="dxa"/>
        <w:jc w:val="left"/>
        <w:tblInd w:w="0" w:type="dxa"/>
        <w:tblLayout w:type="fixed"/>
        <w:tblCellMar>
          <w:top w:w="0" w:type="dxa"/>
          <w:left w:w="0" w:type="dxa"/>
          <w:bottom w:w="0" w:type="dxa"/>
          <w:right w:w="0" w:type="dxa"/>
        </w:tblCellMar>
      </w:tblPr>
      <w:tblGrid>
        <w:gridCol w:w="2420"/>
        <w:gridCol w:w="60"/>
        <w:gridCol w:w="125"/>
        <w:gridCol w:w="950"/>
        <w:gridCol w:w="60"/>
        <w:gridCol w:w="60"/>
        <w:gridCol w:w="125"/>
        <w:gridCol w:w="950"/>
        <w:gridCol w:w="60"/>
        <w:gridCol w:w="60"/>
        <w:gridCol w:w="77"/>
        <w:gridCol w:w="632"/>
        <w:gridCol w:w="185"/>
        <w:gridCol w:w="60"/>
        <w:gridCol w:w="125"/>
        <w:gridCol w:w="950"/>
        <w:gridCol w:w="60"/>
        <w:gridCol w:w="60"/>
        <w:gridCol w:w="125"/>
        <w:gridCol w:w="950"/>
        <w:gridCol w:w="80"/>
        <w:gridCol w:w="60"/>
        <w:gridCol w:w="77"/>
        <w:gridCol w:w="632"/>
        <w:gridCol w:w="185"/>
      </w:tblGrid>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Three Months Ended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Nine Months Ended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7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July 31,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632" w:type="dxa"/>
            <w:tcBorders/>
            <w:vAlign w:val="center"/>
          </w:tcPr>
          <w:p>
            <w:pPr>
              <w:pStyle w:val="TableContents"/>
              <w:bidi w:val="0"/>
              <w:spacing w:before="0" w:after="283"/>
              <w:jc w:val="center"/>
              <w:rPr/>
            </w:pPr>
            <w:r>
              <w:rPr/>
              <w:t> </w:t>
            </w:r>
          </w:p>
        </w:tc>
        <w:tc>
          <w:tcPr>
            <w:tcW w:w="185" w:type="dxa"/>
            <w:tcBorders/>
            <w:vAlign w:val="center"/>
          </w:tcPr>
          <w:p>
            <w:pPr>
              <w:pStyle w:val="TableContents"/>
              <w:bidi w:val="0"/>
              <w:spacing w:before="0" w:after="283"/>
              <w:jc w:val="left"/>
              <w:rPr/>
            </w:pPr>
            <w:r>
              <w:rPr/>
              <w:t> </w:t>
            </w:r>
          </w:p>
        </w:tc>
      </w:tr>
      <w:tr>
        <w:trPr/>
        <w:tc>
          <w:tcPr>
            <w:tcW w:w="24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Percent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Percent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24,297,000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19,917,000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62,942,000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53,209,000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9,095,000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43.9</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22,059,000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16,280,000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35.5</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SG&amp;A expenses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6,963,000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5,737,000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18,791,000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16,939,000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2,112,000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275.4</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3,207,000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9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(719,000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63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546.0</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4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515.5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9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63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b/>
          <w:caps w:val="false"/>
          <w:smallCaps w:val="false"/>
          <w:sz w:val="20"/>
        </w:rPr>
      </w:pPr>
      <w:r>
        <w:rPr>
          <w:rFonts w:ascii="Times New Roman" w:hAnsi="Times New Roman"/>
          <w:b/>
          <w:caps w:val="false"/>
          <w:smallCaps w:val="false"/>
          <w:sz w:val="20"/>
        </w:rPr>
        <w:t>Three Months Ended July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net sales for the third quarter of fiscal year 2026 increased 22.0% to $24.3 million, compared to net sales of $19.9 million for the same period last year, and increased 9.4% compared to net sales of $22.2 million during the second quarter of fiscal year 2026. We experienced an increase in net sales in our enterprise, data center, and specialty markets during the third quarter of fiscal year 2026, compared to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to customers outside of the United States increased 28.8% and net sales to customers in the United States increased 20.3% in the third quarter of fiscal year 2026, compared to the same period last year. We can experience fluctuations in sales from quarter to quarter in the various markets (both industries and geographies) in which we operate for various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see general market growth opportunities in our industry, both domestically and internationally, with strength specifically in our enterprise, data center, and specialty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end of the third quarter of fiscal year 2026, our sales order backlog/forward load was $13.5 million compared to $13.3 million as of April 30, 2026, $10.4 million as of January 31, 2026, and when compared to $7.3 million as of October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typically expect net sales to be relatively lower in the first half of each fiscal year and relatively higher in the second half of each fiscal year, and excluding other volatility, we would normally expect 48% of total net sales to occur during the first half of a fiscal year and 52% of total net sales to occur during the second half of a fiscal year. We believe this historical seasonality pattern is generally indicative of an overall trend and reflective of the buying patterns and budgetary cycles of our customers. However, this pattern may be altered during any quarter or year by the quarterly and annual variability of net sales due to other factors, such as: the timing of larger projects, the timing of orders from larger customers, other economic factors impacting our industry or impacting the industries of our customers and end-users, and various macroeconomic conditions. While we believe seasonality may be a factor that impacts our quarterly net sales results, we are not able to reliably predict net sales based on seasonality because net sales variability due to such other factors can also, and often does, substantially impact our net sales patterns during the year. During our last two fiscal years, approximately 46% of our total net sales occurred during the first half of fiscal years 2025 and 2024 and approximately 54% of our total net sales occurred during the second half of fiscal years 2025 and 2024.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gross profit increased 43.9% to $9.1 million in the third quarter of fiscal year 2026, compared to gross profit of $6.3 million in the third quarter of fiscal year 2025, and increased 19.8% compared to $7.6 million for the second quarter of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margin, or gross profit as a percentage of net sales, increased to 37.4% in the third quarter of fiscal year 2026, compared to 31.7% in the third quarter of fiscal year 2025, and compared to 34.2% for the second quarter of fiscal year 2026, as we benefited from our operating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margin for the third quarter of fiscal 2026, when compared to the same period last year, was positively impacted by higher volumes, as fixed charges were spread over higher sales—the impact of our strong manufacturing operating leverage. Additionally, our gross profit margin percentages are heavily dependent upon product mix on a quarterly basis and may vary based on changes in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SG&amp;A expenses increased to $7.0 million, or 21.4%, during the third quarter of fiscal year 2026, when compared to $5.7 million during the third quarter of fiscal year 2025. SG&amp;A expenses as a percentage of net sales were 28.7% in the third quarter of fiscal year 2026, compared to 28.8% in the third quarter of fiscal year 2025. By comparison, SG&amp;A expenses as a percentage of net sales were 28.2% during the second quarter of fiscal year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SG&amp;A expenses during the third quarter of fiscal year 2026, compared to the same period last year, was primarily the result of increases in employee costs and contracted sales personnel-related costs totaling $941,000 and shipping costs totaling $179,000. Included in employee costs and contracted sales personnel-related costs are compensation costs and sales incentives. Compensation costs increased due to new hires, net of terminations, and certain rate increases and performance incentives. Sales incentives and shipping costs increased primarily due to increases in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Generally, our SG&amp;A expense as a percentage of net sales decreases as fix charges are spread over higher net sales—the impact of our SG&amp;A operating leverage.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Royalty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recognized royalty expense, net of royalty income, totaling $7,000 during the third quarter of fiscal years 2026 and 2025. Royalty expense and/or income may fluctuate based on sales of related licensed products and estimates of amounts for non-licensed product sales,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recognized $14,000 of amortization expense, associated with intangible assets, during the third quarter of fiscal years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Income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reported income from operations of $2.1 million for the third quarter of fiscal year 2026, compared to $562,000 for the third quarter of fiscal year 2025. The change was primarily due to the increase in gross profit of $2.8 million, partially offset by the increase in SG&amp;A expenses of $1.2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left"/>
        <w:rPr>
          <w:rFonts w:ascii="Times New Roman" w:hAnsi="Times New Roman"/>
          <w:i/>
          <w:caps w:val="false"/>
          <w:smallCaps w:val="false"/>
          <w:sz w:val="20"/>
        </w:rPr>
      </w:pPr>
      <w:r>
        <w:rPr>
          <w:rFonts w:ascii="Times New Roman" w:hAnsi="Times New Roman"/>
          <w:i/>
          <w:caps w:val="false"/>
          <w:smallCaps w:val="false"/>
          <w:sz w:val="20"/>
        </w:rPr>
        <w:t>Other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recognized other expense, net in the third quarter of fiscal year 2026 of $245,000, compared to $256,000 in the third quarter of fiscal year 2025. Other expense, net for the third quarter of fiscal years 2026 and 2025 is comprised of interest expense and other miscellaneous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 xml:space="preserve">Income Before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reported income before income taxes of $1.9 million for the third quarter of fiscal year 2026, compared to $306,000 for the third quarter of fiscal year 2025. The change was primarily a result of the increase in income from operations of $1.5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 xml:space="preserve">Income Tax Expense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expense totaled $9,000 in the third quarter of fiscal year 2026, compared to $4,000 in the third quarter of fiscal year 2025. Our effective tax rate was less than one percent for the third quarter of fiscal year 2026 and 1.5% for the third quarter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Fluctuations in our effective tax rates are primarily due to permanent differences in U.S. generally accepted accounting principles (“U.S. GAAP”) and tax accounting for various tax deductions and benefits, but can also be significantly different from the statutory tax rate when income or loss before taxes is at a level such that permanent differences in U.S. GAAP and tax accounting treatment have a disproportional impact on the projected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previously established a valuation allowance against all of our net deferred tax assets. As a result of establishing a full valuation allowance against our net deferred tax assets, if we generate sufficient taxable income in subsequent periods to realize a portion or all of our net deferred tax assets, our effective income tax rate could be unusually low due to the tax benefit attributable to the necessary decrease in our valuation allowance. Further, if we generate losses before taxes in subsequent periods, our effective income tax rate could also be unusually low as any increase in our net deferred tax asset from such a net operating loss for tax purposes would be offset by a corresponding increase to our valuation allowance against our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generate sufficient income before taxes in subsequent periods such that U.S. GAAP would permit us to conclude that the removal of any valuation allowance against our net deferred tax asset is appropriate, then during the period in which such determination is made, we will recognize the non-cash benefit of such removal of the valuation allowance in income tax expense on our consolidated statement of operations, which will increase net income and will also increase the net deferred tax asset on our consolidated balance sheet. If we do not generate sufficient income before taxes in subsequent periods such that U.S. GAAP would permit us to conclude that the reduction or removal of any valuation allowance against our net deferred tax asset is appropriate, then no such non-cash benefit would be realized. There can be no assurance regarding any future realization of the benefit by us of all or part of our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October 31, 2025, the valuation allowance against our total gross deferred tax assets totaled $5.2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 xml:space="preserve">Net Income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for the third quarter of fiscal year 2026 was $1.9 million, or $0.21 per share, compared to $302,000, or $0.04 per share, for the third quarter of fiscal year 2025. This change was primarily due to the increase in income before income taxes of $1.6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b/>
          <w:caps w:val="false"/>
          <w:smallCaps w:val="false"/>
          <w:sz w:val="20"/>
        </w:rPr>
      </w:pPr>
      <w:r>
        <w:rPr>
          <w:rFonts w:ascii="Times New Roman" w:hAnsi="Times New Roman"/>
          <w:b/>
          <w:caps w:val="false"/>
          <w:smallCaps w:val="false"/>
          <w:sz w:val="20"/>
        </w:rPr>
        <w:t>Nine Months Ended July 31,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Consolidated net sales for the first nine months of fiscal year 2026 were $62.9 million, an increase of 18.3% compared to net sales of $53.2 million for the same period last year. We experienced an increase in net sales in our enterprise, data center, and specialty markets in the first nine months of fiscal year 2026, compared to the same period last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sales to customers outside of the United States increased 31.1% and net sales to customers in the United States increased 14.8% in the first nine months of fiscal year 2026, compared to the same period last year. We can experience fluctuations in sales from quarter to quarter in the various markets (both industries and geographies) in which we operate for various reasons.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continue to see general market growth opportunities in our industry, both domestically and internationally, with strength specifically in our enterprise, data center, and specialty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the end of the first nine months of fiscal year 2026, our sales order backlog/forward load increased to $13.5 million when compared to $13.3 million as of April 30, 2026, $10.4 million as of January 31, 2026, and when compared to $7.3 million as of October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Gross Profit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gross profit was $22.1 million in the first nine months of fiscal year 2026, an increase of 35.5% compared to gross profit of $16.3 million in the first nine months of fiscal year 2025. Gross profit margin increased to 35.0% in the first nine months of fiscal year 2026 compared to 30.6% in the first nine months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Gross profit margin for the first nine months of fiscal 2026, when compared to the same period last year, was positively impacted by higher volumes, as fixed charges were spread over higher sales—the impact of our manufacturing operating leverage. Additionally, our gross profit margin percentages are heavily dependent upon product mix on a quarterly basis and may vary based on changes in product mix.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Selling,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SG&amp;A expenses increased 10.9% to $18.8 million during the first nine months of fiscal year 2026, compared to $16.9 million for the same period last year. SG&amp;A expenses as a percentage of net sales were 29.9% in the first nine months of fiscal year 2026 compared to 31.8% for the first nine months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increase in SG&amp;A expenses during the first nine months of fiscal year 2026 compared to the same period last year was primarily the result of increases in employee costs and contracted sales personnel-related costs totaling $1.3 million and shipping costs totaling $343,000. Included in employee costs and contracted sales personnel-related costs are compensation costs and sales incentives. Compensation costs increased due to new hires, net of terminations, and certain rate increases and performance incentives. Sales incentives and shipping costs increased primarily due to increases in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Royalty Income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recognized royalty expense, net of royalty income, totaling $20,000 during the first nine months of fiscal years 2026 and 2025. Royalty income and/or expense may fluctuate based on sales of related licensed products and estimates of amounts for non-licensed product sales, if 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Amortization of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recognized $41,000 of amortization expense, associated with intangible assets, during the first nine months of fiscal years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Income (Loss) from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both"/>
        <w:rPr>
          <w:rFonts w:ascii="Times New Roman" w:hAnsi="Times New Roman"/>
          <w:caps w:val="false"/>
          <w:smallCaps w:val="false"/>
          <w:sz w:val="20"/>
        </w:rPr>
      </w:pPr>
      <w:r>
        <w:rPr>
          <w:rFonts w:ascii="Times New Roman" w:hAnsi="Times New Roman"/>
          <w:caps w:val="false"/>
          <w:smallCaps w:val="false"/>
          <w:sz w:val="20"/>
        </w:rPr>
        <w:t>We reported income from operations of $3.2 million for the first nine months of fiscal year 2026, compared to a loss from operations of $719,000 for the first nine months of fiscal year 2025. The change was primarily due to the increase in gross profit of $5.8 million, partially offset by the increase in SG&amp;A expenses of $1.9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Other Expense,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recognized other expense, net in the first nine months of fiscal year 2026 of $700,000, compared to $753,000 in the first nine months of fiscal year 2025. Other expense, net for the first nine months of fiscal years 2026 and 2025 is comprised of interest expense and other miscellaneous items.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i/>
          <w:caps w:val="false"/>
          <w:smallCaps w:val="false"/>
          <w:sz w:val="20"/>
        </w:rPr>
      </w:pPr>
      <w:r>
        <w:rPr>
          <w:rFonts w:ascii="Times New Roman" w:hAnsi="Times New Roman"/>
          <w:i/>
          <w:caps w:val="false"/>
          <w:smallCaps w:val="false"/>
          <w:sz w:val="20"/>
        </w:rPr>
        <w:t xml:space="preserve">Income (Loss) Before Income Taxes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reported income before income taxes of $2.5 million for the first nine months of fiscal year 2026, compared to a loss before income taxes of $1.5 million for the first nine months of fiscal year 2025. The change was primarily a result of the increase in income from operations of $3.9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Income Tax Expense (Benefit)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Income tax benefit totaled $9,000 in the first nine months of fiscal year 2026, compared to income tax expense of $31,000 in the first nine months of fiscal year 2025. Our effective tax rate was less than negative one percent for the first nine months of fiscal year 2026 and negative 2.1% for the first nine months of fiscal year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Fluctuations in our effective tax rates are primarily due to permanent differences in U.S. GAAP and tax accounting for various tax deductions and benefits, but can also be significantly different from the statutory tax rate when income or loss before taxes is at a level such that permanent differences in U.S. GAAP and tax accounting treatment have a disproportional impact on the projected effective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previously established a valuation allowance against all of our net deferred tax assets. As a result of establishing a full valuation allowance against our net deferred tax assets, if we generate sufficient taxable income in subsequent periods to realize a portion or all of our net deferred tax assets, our effective income tax rate could be unusually low due to the tax benefit attributable to the necessary decrease in our valuation allowance. Further, if we generate losses before taxes in subsequent periods, our effective income tax rate could also be unusually low as any increase in our net deferred tax asset from such a net operating loss for tax purposes would be offset by a corresponding increase to our valuation allowance against our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we generate sufficient income before taxes in subsequent periods such that U.S. GAAP would permit us to conclude that the removal of any valuation allowance against our net deferred tax asset is appropriate, then during the period in which such determination is made, we will recognize the non-cash benefit of such removal of the valuation allowance in income tax expense on our consolidated statement of operations, which will increase net income and will also increase the net deferred tax asset on our consolidated balance sheet. If we do not generate sufficient income before taxes in subsequent periods such that U.S. GAAP would permit us to conclude that the reduction or removal of any valuation allowance against our net deferred tax asset is appropriate, then no such non-cash benefit would be realized. There can be no assurance regarding any future realization of the benefit by us of all or part of our net deferred tax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October 31, 2025, the valuation allowance against our total gross deferred tax assets totaled $5.2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income for the first nine months of fiscal year 2026 was $2.5 million, or $0.28 per share, compared to a net loss of $1.5 million, or $0.19 per share, for the first nine months of fiscal year 2025. This change was primarily due to the increase in income before income taxes of $4.0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assets increased $4.8 million, or 12.0%, to $44.9 million at July 31, 2026, from $40.1 million at October 31, 2025. This increase was primarily due to a $1.6 million increase in trade accounts receivable, net and an increase in inventories of $3.1 million. The increase in trade accounts receivable, net resulted primarily from the increase in net sales in the third quarter of fiscal year 2026 when compared to the fourth quarter of fiscal year 2025. Inventories increased largely as a result of the timing of certain raw material purchases and increases in work in process levels related to pending shipments.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liabilities increased $2.1 million, or 11.3%, to $20.6 million at July 31, 2026, from $18.5 million at October 31, 2025. The increase in total liabilities was primarily due to an $882,000 increase in accrued compensation and payroll taxes, resulting from increased employee incentives in response to higher net sales and improved financial performance, and a $704,000 increase in note payable, revolver - current, resulting from net proceeds on our Revolver.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July 31, 2026, the aggregate redemption value of the redeemable restricted common stock increased to $9.5 million from $5.1 million as of October 31, 2025. The Company records the value of the redeemable restricted common stock at the average stock closing price for the ten days preceding the balance sheet date multiplied by the total number of the redeemable shares.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Total shareholders’ equity at July 31, 2026 decreased $1.8 million in the first nine months of fiscal year 2026 resulting primarily from the reduction in retained earnings caused by the $4.5 million increase in the aggregate redemption value of the redeemable restricted common stock as of July 31, 2026, partially offset by net income of $2.5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56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capital needs have been to fund working capital requirements. Our primary source of capital for this purpose has been existing cash, cash provided by operations, and borrowings under our Revolver (see “Credit Facilities”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cash totaled $297,000 as of July 31, 2026, an increase of $59,000 compared to $238,000 as of October 31, 2025. The increase in cash for the nine months ended July 31, 2026 primarily resulted from net cash provided by operating activities of $148,000 and financing activities of $363,000, partially offset by capital expenditures of $425,000.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31, 2026, we had working capital of $19.2 million compared to $13.9 million on October 31, 2025. The ratio of current assets to current liabilities as of July 31, 2026 was 2.2 to 1.0, compared to 1.8 to 1.0 as of October 31, 2025. The increase in working capital and in the current ratio was primarily due to the increase in trade accounts receivable, net of $1.6 million, the increase in inventories totaling $3.1 million and the decrease in current installments of long-term debt totaling $2.5 million, resulting from the reclassification of the long-term portion of the refinanced term loan, partially offset by the increase in accrued compensation and payroll taxes totaling $882,000 and the note payable, revolver – current totaling $704,000.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July 31, 2026 and October 31, 2025, we had outstanding loan balances under our Revolver totaling $6.3 million and $5.6 million, respectively. As of July 31, 2026 and October 31, 2025, we had other outstanding bank loan balances, excluding our Revolver, totaling $2.6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Net Cash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was $148,000 in the first nine months of fiscal year 2026, compared to $617,000 for the first nine months of fiscal year 2025. Net cash provided by operating activities during the first nine months of fiscal year 2026 primarily resulted from certain adjustments to reconcile net income of $2.5 million to net cash provided by operating activities, including depreciation and amortization of $585,000, share-based compensation expense of $388,000, and the cash flow impact of decreases in accrued compensation and payroll taxes totaling $882,000, partially offset by an increase in inventories totaling $3.1 million, and the cash flow impact of increases in trade accounts receivable, net totaling $1.6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operating activities during the first nine months of fiscal year 2025 primarily resulted from certain adjustments to reconcile a net loss of $1.5 million to net cash provided by operating activities including depreciation and amortization of $608,000 and share-based compensation expense of $293,000. Additionally, the cash flow impact of increases in accounts payable and accrued expenses of $848,000 further contributed to net cash provided by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totaled $451,000 in the first nine months of fiscal year 2026, compared to $234,000 in the first nine months of fiscal year 2025. Net cash used in investing activities during the first nine months of fiscal years 2026 and 2025 resulted primarily from purchases of property and equipment and deposits for the purchase of property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totaled $363,000 for the first nine months of fiscal year 2026, compared to net cash used in financing activities of $206,000 in the first nine months of fiscal year 2025. Net cash provided by financing activities in the first nine months of fiscal years 2026 resulted primarily from net proceeds from our revolving line of credit totaling $704,000, partially offset by payroll taxes withheld and remitted totaling $206,000 related to the vesting of operational performance-based restricted stock. Net cash used in financing activities in the first nine months of fiscal year 2025 resulted from the issuance of redeemable restricted common stock, net of $1.9 million, partially offset by repayments on our revolving line of credit totaling $1.9 million and payroll taxes withheld and remitted totaling $107,000 related to the vesting of operational performance-based restricted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Credit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credit facilities consisting of a term loan (the “Term Loan”) and a Revolving Credit Master Promissory Note and related Loan and Security Agreement (collectively, the “Revolver”).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entered into the Term Loan consisting of a Business Loan Agreement (the “Loan Agreement”) with Freedom First Federal Credit Union (“Freedom First”) on April 30, 2026. In connection with the Loan Agreement, we also executed a Promissory Note dated April 30, 2026, in the original principal amount of $2,650,000. Coinciding with our entering the Loan Agreement with Freedom First, we paid the full outstanding balance of our existing Virginia Real Estate Loan with Northeast Bank, which had a maturity date of May 5,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Loan is payable in monthly installments of principal and interest. Principal is calculated using the unpaid balance of the loan and a two hundred forty (240) month amortization schedule. Interest is computed on the aggregate principal balance outstanding at a fixed rate of 6.5% per annum for 60 months. Effective June 1, 2031, the interest rate will change to the monthly average yield on U.S. Treasury Securities, adjusted to a constant maturity of five years, plus 2.5%, for a new fixed rate for years six through ten. Notwithstanding any other provision, the interest rate on the Promissory Note shall at no time be less than 4.5% per annum. The maturity date of the Term loan is May 1, 2036.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Term Loan is secured by a first lien deed of trust on the land and building at the Company’s headquarters and manufacturing facilities located in Roanoke, Virginia.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July 31, 2026 we had an outstanding balance on our Term Loan of $2.6 million. As of October 31, 2025, we had an outstanding balance on our Virginia Real Estate Loan of $2.6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Revolver with North Mill Capital LLC (doing business as SLR Business Credit, “SLR”) provides us with one or more advances in an amount up to: (a) 85% of the aggregate outstanding amount of eligible accounts (the “eligible accounts loan value”); plus (b) the lowest of (i) an amount up to 35% of the aggregate value of eligible inventory, (ii) $7.0 million, and (iii) an amount not to exceed 100% of the then outstanding eligible accounts loan value; minus (c) $1.15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maximum aggregate principal amount subject to the Revolver is $18.0 million. Interest accrues on the daily balance at the per annum rate of 1.5% above the Prime Rate in effect from time to time, but not less than 4.75% (the “Applicable Rate”). As a result, the Revolver accrued interest at an 8.25% rate at July 31, 2026 and 8.5% at October 31, 2025. In the event of a default, interest may become 6.0% above the Applicable Rate. The loan may be extended subject to the agreement of SLR.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Revolver requires a lockbox arrangement, which provides for all cash receipts to be swept daily to reduce the balance outstanding. This arrangement, combined with the existence of a “subjective acceleration clause” (as defined by U.S. generally accepted accounting principles) in the Revolver, requires the balance on the Revolver to be classified as a current liability. The “subjective acceleration clause” allows SLR to declare an event of default if there is a material adverse change in our business or financial condition. Upon the occurrence of an event of default, SLR may, among other things, declare all obligations payable in full. We believe that no such material adverse change has occurred. In addition, at July 31, 2026 and through the date of this report, SLR has not informed us that any such event of default has occurred. The Revolver has a maturity date of July 24, 2027 and we believe that we will continue to be able to borrow on the Revolver to fund our operations over the remaining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Revolver is secured by all of the following assets, properties, rights and interests in property of the Company whether now owned or existing, or hereafter acquired or arising, and wherever located; all accounts, equipment, commercial tort claims, general intangibles, chattel paper, inventory, negotiable collateral, investment property, financial assets, letter-of-credit rights, supporting obligations, deposit accounts, money or assets of the Company, which hereafter come into the possession, custody, or control of SLR; all proceeds and products, whether tangible or intangible, of any of the foregoing, including proceeds of insurance covering any or all of the foregoing; any and all tangible or intangible property resulting from the sale, lease, license or other disposition of any of the foregoing, or any portion thereof or interest therein, and all proceeds thereof; and any other assets of the Company which may be subject to a lien in favor of SLR as security for the obligations under the Loan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July 31, 2026, we had $6.3 million of outstanding borrowings on our Revolver and $6.6 million in available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Capital Expenditures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did not have any material commitments for capital expenditures as of July 31, 2026. During our 2026 fiscal year budgeting process, we included an estimate for capital expenditures of $1.0 million for the fiscal year. We anticipate these expenditures, to the extent made, will be funded out of our working capital, cash provided by operations or borrowings under our Revolver, as appropriate. Capital expenditures are reviewed and approved based on a variety of factors including, but not limited to, current cash flow considerations, the expected return on investment, project priorities, impact on current or future product offerings, availability of personnel necessary to implement and begin using acquired equipment, and economic conditions in general. Additionally, total capital expenditures exceeding $1.0 million per fiscal year would require approval from our Revolver lender, SLR.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Corporate acquisitions and other strategic investments, if any, are considered outside of our annual capital expenditure budgeting process.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Future Cash Flow Considerations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believe that our future cash flow from operations, our cash on hand and our existing Revolver or refinanced Revolver will be adequate to fund our operations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are involved in various claims, legal actions and regulatory reviews arising in the ordinary course of business. In the opinion of management, the ultimate disposition of these matters will not have a material adverse effect on our financial position, results of operations or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discussion and analysis of financial condition and results of operations is based on the condensed consolidated financial statements and accompanying condensed notes that have been prepared in accordance with U.S. GAAP for interim financial information and the instructions to Form 10</w:t>
        <w:noBreakHyphen/>
        <w:t>Q and Regulation S</w:t>
        <w:noBreakHyphen/>
        <w:t>X. The preparation of these condensed consolidated financial statements requires management to make estimates and assumptions that affect the reported amounts of assets and liabilities and the disclosure of contingent assets and liabilities at the date of the condensed consolidated financial statements and the reported amounts of revenues and expenses during the reporting period. Actual results could differ from those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Note 1 to the consolidated financial statements filed with our Annual Report on Form 10-K for fiscal year 2025 provides a summary of our significant accounting policies. Those significant accounting policies detailed in our fiscal year 2025 Form 10-K did not change during the period from November 1, 2025 through July 31,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New Accounting Standards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New Accounting Standards Recently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2023, the FASB issued Accounting Standards Update 2023-07, </w:t>
      </w:r>
      <w:r>
        <w:rPr>
          <w:rFonts w:ascii="Times New Roman" w:hAnsi="Times New Roman"/>
          <w:i/>
          <w:caps w:val="false"/>
          <w:smallCaps w:val="false"/>
          <w:sz w:val="20"/>
        </w:rPr>
        <w:t>Segment Reporting (Topic 280): Improvements to Reportable Segment Disclosures</w:t>
      </w:r>
      <w:r>
        <w:rPr>
          <w:rFonts w:ascii="Times New Roman" w:hAnsi="Times New Roman"/>
          <w:caps w:val="false"/>
          <w:smallCaps w:val="false"/>
          <w:sz w:val="20"/>
        </w:rPr>
        <w:t xml:space="preserve"> (“ASU 2023-07”). ASU 2023-07 requires public entities to disclose significant segment expenses that are regularly provided to the Chief Operating Decision Maker (“CODM”), as described in accordance with U.S. GAAP. Public entities with a single reportable segment are required to apply the disclosure requirements in ASU 2023-07, as well as all existing segment disclosure requirement in ASC 280, </w:t>
      </w:r>
      <w:r>
        <w:rPr>
          <w:rFonts w:ascii="Times New Roman" w:hAnsi="Times New Roman"/>
          <w:i/>
          <w:caps w:val="false"/>
          <w:smallCaps w:val="false"/>
          <w:sz w:val="20"/>
        </w:rPr>
        <w:t>Segment Reporting</w:t>
      </w:r>
      <w:r>
        <w:rPr>
          <w:rFonts w:ascii="Times New Roman" w:hAnsi="Times New Roman"/>
          <w:caps w:val="false"/>
          <w:smallCaps w:val="false"/>
          <w:sz w:val="20"/>
        </w:rPr>
        <w:t>, on an interim and annual basis. The guidance in ASU 2023-07 is effective for annual reporting periods in fiscal years beginning after December 15, 2023 and interim reporting periods in fiscal years beginning after December 31, 2024. We adopted ASU 2023-07 on a retrospective basis for the annual period ended October 31, 2025 and for interim reporting periods beginning with the fiscal quarter ended January 31, 2026. See note 11 for further information regarding the Company’s single reportable segment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New Accounting Standards Not Yet Adopted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December 2023, the FASB issued Accounting Standards Update 2023-09, Income Taxes (Topic 740): Improvements to Income Tax Disclosures (“ASU 2023-09”). The objective of ASU 2023-09 is to enhance disclosures related to income taxes, including specific thresholds for inclusion within the tabular disclosure of income tax rate reconciliation and specified information about income taxes paid. ASU 2023-09 is effective for public companies starting in annual periods beginning after December 15, 2024, with early adoption permitted. We are currently evaluating the impact ASU 2023-09 will have on our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Accounting Standards Update 2024-03,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 (Subtopic 220-40)</w:t>
      </w:r>
      <w:r>
        <w:rPr>
          <w:rFonts w:ascii="Times New Roman" w:hAnsi="Times New Roman"/>
          <w:caps w:val="false"/>
          <w:smallCaps w:val="false"/>
          <w:sz w:val="20"/>
        </w:rPr>
        <w:t xml:space="preserve"> (“ASU 2024-03”). The objective of ASU 2024-03 is to improve disclosures about a public entity's expenses, primarily through additional disaggregation of income statement expenses. In January 2025, the FASB further clarified the effective date of ASU 2024-03 with the issuance of Accounting Standards Update 2025-01, </w:t>
      </w:r>
      <w:r>
        <w:rPr>
          <w:rFonts w:ascii="Times New Roman" w:hAnsi="Times New Roman"/>
          <w:i/>
          <w:caps w:val="false"/>
          <w:smallCaps w:val="false"/>
          <w:sz w:val="20"/>
        </w:rPr>
        <w:t>Income Statement</w:t>
      </w:r>
      <w:r>
        <w:rPr>
          <w:rFonts w:ascii="Times New Roman" w:hAnsi="Times New Roman"/>
          <w:caps w:val="false"/>
          <w:smallCaps w:val="false"/>
          <w:sz w:val="20"/>
        </w:rPr>
        <w:t> — </w:t>
      </w:r>
      <w:r>
        <w:rPr>
          <w:rFonts w:ascii="Times New Roman" w:hAnsi="Times New Roman"/>
          <w:i/>
          <w:caps w:val="false"/>
          <w:smallCaps w:val="false"/>
          <w:sz w:val="20"/>
        </w:rPr>
        <w:t>Reporting Comprehensive Income</w:t>
      </w:r>
      <w:r>
        <w:rPr>
          <w:rFonts w:ascii="Times New Roman" w:hAnsi="Times New Roman"/>
          <w:caps w:val="false"/>
          <w:smallCaps w:val="false"/>
          <w:sz w:val="20"/>
        </w:rPr>
        <w:t> — </w:t>
      </w:r>
      <w:r>
        <w:rPr>
          <w:rFonts w:ascii="Times New Roman" w:hAnsi="Times New Roman"/>
          <w:i/>
          <w:caps w:val="false"/>
          <w:smallCaps w:val="false"/>
          <w:sz w:val="20"/>
        </w:rPr>
        <w:t>Expense Disaggregation Disclosures (Subtopic 220-40)</w:t>
      </w:r>
      <w:r>
        <w:rPr>
          <w:rFonts w:ascii="Times New Roman" w:hAnsi="Times New Roman"/>
          <w:caps w:val="false"/>
          <w:smallCaps w:val="false"/>
          <w:sz w:val="20"/>
        </w:rPr>
        <w:t xml:space="preserve"> (“ASU 2025-01”). ASU 2024-03 is effective for annual periods beginning after December 15, 2026, and interim periods within annual reporting periods beginning after December 15, 2027. Early adoption is permitted and may be applied either on a prospective or retrospective basis. We are currently evaluating the impact ASU 2024-03 will have on our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July 2025, the FASB issued Accounting Standards Update 2025-05, </w:t>
      </w:r>
      <w:r>
        <w:rPr>
          <w:rFonts w:ascii="Times New Roman" w:hAnsi="Times New Roman"/>
          <w:i/>
          <w:caps w:val="false"/>
          <w:smallCaps w:val="false"/>
          <w:sz w:val="20"/>
        </w:rPr>
        <w:t>Measurement of Credit Losses for Accounts Receivable and Contract Assets</w:t>
      </w:r>
      <w:r>
        <w:rPr>
          <w:rFonts w:ascii="Times New Roman" w:hAnsi="Times New Roman"/>
          <w:caps w:val="false"/>
          <w:smallCaps w:val="false"/>
          <w:sz w:val="20"/>
        </w:rPr>
        <w:t xml:space="preserve"> (“ASU 2025-05”). The amendments in ASU 2025-05 provide entities with a practical expedient to simplify the estimation of expected credit losses on current accounts receivable and current contract assets that arise from transactions accounted for under ASC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606”) by allowing the assumption that current conditions as of the balance sheet date will not change during the remaining life of the asset. ASU 2025-05 is effective for annual periods beginning after December 15, 2025 and interim periods within those annual reporting periods, with early adoption permitted. The adoption of ASU 2025-05 is not expected to have a material impact on our results of operations, financial position or liquidity or our related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December 2025, the FASB issued Accounting Standards Update 2025-11, </w:t>
      </w:r>
      <w:r>
        <w:rPr>
          <w:rFonts w:ascii="Times New Roman" w:hAnsi="Times New Roman"/>
          <w:i/>
          <w:caps w:val="false"/>
          <w:smallCaps w:val="false"/>
          <w:sz w:val="20"/>
        </w:rPr>
        <w:t xml:space="preserve">Interim Reporting (Topic 270): Narrow-Scope Improvements </w:t>
      </w:r>
      <w:r>
        <w:rPr>
          <w:rFonts w:ascii="Times New Roman" w:hAnsi="Times New Roman"/>
          <w:caps w:val="false"/>
          <w:smallCaps w:val="false"/>
          <w:sz w:val="20"/>
        </w:rPr>
        <w:t>(“ASU 2025-11”). This update clarifies the applicability, form and content, and interim disclosure requirements in ASC Topic 270 and enhances navigability of the interim reporting guidance. ASU 2025-11 also establishes a principle under which an entity must disclose events since the end of the last annual reporting period that have a material impact on the entity. ASU 2025-11 is effective for interim periods within annual reporting periods beginning after December 15, 2027, with early adoption permitted. We are currently evaluating the impact ASU 2025-11 will have on our financial statement disclosures.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In December 2025, the FASB issued Accounting Standards Update 2025-12, </w:t>
      </w:r>
      <w:r>
        <w:rPr>
          <w:rFonts w:ascii="Times New Roman" w:hAnsi="Times New Roman"/>
          <w:i/>
          <w:caps w:val="false"/>
          <w:smallCaps w:val="false"/>
          <w:sz w:val="20"/>
        </w:rPr>
        <w:t>Codification Improvements</w:t>
      </w:r>
      <w:r>
        <w:rPr>
          <w:rFonts w:ascii="Times New Roman" w:hAnsi="Times New Roman"/>
          <w:caps w:val="false"/>
          <w:smallCaps w:val="false"/>
          <w:sz w:val="20"/>
        </w:rPr>
        <w:t>, (“ASU 2025-12”). ASU 2025-12 includes changes that clarify, correct, or otherwise improve certain components of the Accounting Standards Codification. The improvements consist of narrow-scope amendments, technical corrections, clarification of existing guidance, and updates to clarify the appropriate scope and application of certain disclosure requirements. ASU 2025-12 is effective for annual periods beginning after December 15, 2026, and interim periods within those annual reporting periods, with early adoption permitted. We are currently evaluating the impact ASC 2025-12 will have on our results of operations, financial position or liquidity or our related financial statement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are no other new accounting standards issued, but not yet adopted by us, which are expected to materially impact our financial position, operating results or financial statement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bookmarkStart w:id="11" w:name="item_4"/>
      <w:bookmarkEnd w:id="11"/>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maintains disclosure controls and procedures (as defined in Rules 13a-15(e) and 15d-15(e) under the Securities Exchange Act of 1934, as amended (the “Exchange Act”)) that are designed to be effective in providing reasonable assurance that information required to be disclosed in reports under the Exchange Act are recorded, processed and summarized and reported within the time periods specified in the rules and forms of the Securities and Exchange Commission (the “SEC”), and that such information is accumulated and communicated to management to allow for timely decisions regarding required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management evaluated, with the participation of our Chief Executive Officer (principal executive officer) and Chief Financial Officer (principal financial officer), the effectiveness of the Company’s disclosure controls and procedures as of July 31, 2026. Based on this evaluation process, the Chief Executive Officer and Chief Financial Officer have concluded that the Company’s disclosure controls and procedures were effective as of July 31, 2026, and that there were no changes in the Company’s internal control over financial reporting that occurred during the last fiscal quarter ended July 31, 2026 that have materially affected, or are reasonably likely to materially affect, the Company’s internal control over financial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 w:hAnsi="Times New Roman"/>
          <w:caps w:val="false"/>
          <w:smallCaps w:val="false"/>
          <w:sz w:val="20"/>
        </w:rPr>
      </w:pPr>
      <w:bookmarkStart w:id="12" w:name="Other_info"/>
      <w:bookmarkEnd w:id="12"/>
      <w:r>
        <w:rPr>
          <w:rFonts w:ascii="Times New Roman" w:hAnsi="Times New Roman"/>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exhibits"/>
      <w:bookmarkEnd w:id="13"/>
      <w:r>
        <w:rPr>
          <w:rFonts w:ascii="Times New Roman" w:hAnsi="Times New Roman"/>
          <w:b/>
          <w:caps w:val="false"/>
          <w:smallCaps w:val="false"/>
          <w:sz w:val="20"/>
        </w:rPr>
        <w:t xml:space="preserve">Item 6. Exhibits </w:t>
      </w:r>
    </w:p>
    <w:p>
      <w:pPr>
        <w:pStyle w:val="TextBody"/>
        <w:bidi w:val="0"/>
        <w:spacing w:before="0" w:after="0"/>
        <w:ind w:left="1980" w:right="0" w:hanging="1440"/>
        <w:jc w:val="center"/>
        <w:rPr>
          <w:rFonts w:ascii="Times New Roman" w:hAnsi="Times New Roman"/>
          <w:b/>
          <w:caps w:val="false"/>
          <w:smallCaps w:val="false"/>
          <w:sz w:val="20"/>
        </w:rPr>
      </w:pPr>
      <w:r>
        <w:rPr>
          <w:rFonts w:ascii="Times New Roman" w:hAnsi="Times New Roman"/>
          <w:b/>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709"/>
        <w:gridCol w:w="9421"/>
      </w:tblGrid>
      <w:tr>
        <w:trPr/>
        <w:tc>
          <w:tcPr>
            <w:tcW w:w="75" w:type="dxa"/>
            <w:tcBorders/>
            <w:vAlign w:val="center"/>
          </w:tcPr>
          <w:p>
            <w:pPr>
              <w:pStyle w:val="TableContents"/>
              <w:bidi w:val="0"/>
              <w:spacing w:before="0" w:after="283"/>
              <w:jc w:val="right"/>
              <w:rPr/>
            </w:pPr>
            <w:r>
              <w:rPr/>
              <w:t> </w:t>
            </w:r>
          </w:p>
        </w:tc>
        <w:tc>
          <w:tcPr>
            <w:tcW w:w="709" w:type="dxa"/>
            <w:tcBorders/>
            <w:vAlign w:val="center"/>
          </w:tcPr>
          <w:p>
            <w:pPr>
              <w:pStyle w:val="TableContents"/>
              <w:bidi w:val="0"/>
              <w:spacing w:before="0" w:after="283"/>
              <w:jc w:val="right"/>
              <w:rPr>
                <w:rFonts w:ascii="Times New Roman;Times;serif" w:hAnsi="Times New Roman;Times;serif"/>
                <w:b/>
                <w:sz w:val="20"/>
                <w:u w:val="single"/>
              </w:rPr>
            </w:pPr>
            <w:r>
              <w:rPr>
                <w:rFonts w:ascii="Times New Roman;Times;serif" w:hAnsi="Times New Roman;Times;serif"/>
                <w:b/>
                <w:sz w:val="20"/>
                <w:u w:val="single"/>
              </w:rPr>
              <w:t>Exhibit No.</w:t>
            </w:r>
          </w:p>
        </w:tc>
        <w:tc>
          <w:tcPr>
            <w:tcW w:w="9421" w:type="dxa"/>
            <w:tcBorders/>
            <w:vAlign w:val="center"/>
          </w:tcPr>
          <w:p>
            <w:pPr>
              <w:pStyle w:val="TableContents"/>
              <w:bidi w:val="0"/>
              <w:spacing w:before="0" w:after="283"/>
              <w:jc w:val="left"/>
              <w:rPr>
                <w:rFonts w:ascii="Times New Roman;Times;serif" w:hAnsi="Times New Roman;Times;serif"/>
                <w:b/>
                <w:sz w:val="20"/>
                <w:u w:val="single"/>
              </w:rPr>
            </w:pPr>
            <w:r>
              <w:rPr>
                <w:rFonts w:ascii="Times New Roman;Times;serif" w:hAnsi="Times New Roman;Times;serif"/>
                <w:b/>
                <w:sz w:val="20"/>
                <w:u w:val="single"/>
              </w:rPr>
              <w:t>Description</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w:t>
            </w:r>
          </w:p>
        </w:tc>
        <w:tc>
          <w:tcPr>
            <w:tcW w:w="9421" w:type="dxa"/>
            <w:tcBorders/>
            <w:vAlign w:val="center"/>
          </w:tcPr>
          <w:p>
            <w:pPr>
              <w:pStyle w:val="TableContents"/>
              <w:bidi w:val="0"/>
              <w:spacing w:before="0" w:after="0"/>
              <w:ind w:left="0" w:right="0" w:hanging="0"/>
              <w:jc w:val="both"/>
              <w:rPr/>
            </w:pPr>
            <w:hyperlink r:id="rId2">
              <w:r>
                <w:rPr>
                  <w:rStyle w:val="InternetLink"/>
                  <w:rFonts w:ascii="Times New Roman;Times;serif" w:hAnsi="Times New Roman;Times;serif"/>
                  <w:caps w:val="false"/>
                  <w:smallCaps w:val="false"/>
                  <w:sz w:val="20"/>
                  <w:u w:val="single"/>
                </w:rPr>
                <w:t>Articles of Amendment and Amended and Restated Articles of Incorporation filed November 5, 2001 to the Amended and Restated Articles of Incorporation, as amended through November 5, 2001 (incorporated herein by reference to Exhibit 1 to the Company’s Form 8-A12G filed with the Commission on November 5, 2001).</w:t>
              </w:r>
            </w:hyperlink>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w:t>
            </w:r>
          </w:p>
        </w:tc>
        <w:tc>
          <w:tcPr>
            <w:tcW w:w="9421" w:type="dxa"/>
            <w:tcBorders/>
            <w:vAlign w:val="center"/>
          </w:tcPr>
          <w:p>
            <w:pPr>
              <w:pStyle w:val="TableContents"/>
              <w:bidi w:val="0"/>
              <w:spacing w:before="0" w:after="0"/>
              <w:ind w:left="0" w:right="0" w:hanging="0"/>
              <w:jc w:val="both"/>
              <w:rPr/>
            </w:pPr>
            <w:hyperlink r:id="rId3">
              <w:r>
                <w:rPr>
                  <w:rStyle w:val="InternetLink"/>
                  <w:rFonts w:ascii="Times New Roman;Times;serif" w:hAnsi="Times New Roman;Times;serif"/>
                  <w:caps w:val="false"/>
                  <w:smallCaps w:val="false"/>
                  <w:sz w:val="20"/>
                  <w:u w:val="single"/>
                </w:rPr>
                <w:t>Articles of Amendment filed July 5, 2002 to the Amended and Restated Articles of Incorporation, as amended through July 5, 2002 (incorporated herein by reference to Appendix A to the Company’s definitive proxy statement on Form 14A filed July 5, 2002).</w:t>
              </w:r>
            </w:hyperlink>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3.3</w:t>
            </w:r>
          </w:p>
        </w:tc>
        <w:tc>
          <w:tcPr>
            <w:tcW w:w="9421" w:type="dxa"/>
            <w:tcBorders/>
            <w:vAlign w:val="center"/>
          </w:tcPr>
          <w:p>
            <w:pPr>
              <w:pStyle w:val="TableContents"/>
              <w:bidi w:val="0"/>
              <w:spacing w:before="0" w:after="0"/>
              <w:ind w:left="0" w:right="0" w:hanging="0"/>
              <w:jc w:val="both"/>
              <w:rPr/>
            </w:pPr>
            <w:hyperlink r:id="rId4">
              <w:r>
                <w:rPr>
                  <w:rStyle w:val="InternetLink"/>
                  <w:rFonts w:ascii="Times New Roman;Times;serif" w:hAnsi="Times New Roman;Times;serif"/>
                  <w:caps w:val="false"/>
                  <w:smallCaps w:val="false"/>
                  <w:sz w:val="20"/>
                  <w:u w:val="single"/>
                </w:rPr>
                <w:t>Amended and Restated Bylaws of Optical Cable Corporation effective March 9, 2023 (incorporated herein by reference to Exhibit 3.4 to the Company’s Quarterly Report on Form 10-Q for the first quarter ended January 31, 2023).</w:t>
              </w:r>
            </w:hyperlink>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w:t>
            </w:r>
          </w:p>
        </w:tc>
        <w:tc>
          <w:tcPr>
            <w:tcW w:w="9421" w:type="dxa"/>
            <w:tcBorders/>
            <w:vAlign w:val="center"/>
          </w:tcPr>
          <w:p>
            <w:pPr>
              <w:pStyle w:val="TableContents"/>
              <w:bidi w:val="0"/>
              <w:spacing w:before="0" w:after="0"/>
              <w:ind w:left="0" w:right="0" w:hanging="0"/>
              <w:jc w:val="both"/>
              <w:rPr/>
            </w:pPr>
            <w:hyperlink r:id="rId5">
              <w:r>
                <w:rPr>
                  <w:rStyle w:val="InternetLink"/>
                  <w:rFonts w:ascii="Times New Roman;Times;serif" w:hAnsi="Times New Roman;Times;serif"/>
                  <w:caps w:val="false"/>
                  <w:smallCaps w:val="false"/>
                  <w:sz w:val="20"/>
                  <w:u w:val="single"/>
                </w:rPr>
                <w:t>Form of certificate representing Common Stock (incorporated herein by reference to Exhibit 4.1 to the Company’s Quarterly Report on Form 10-Q for the third quarter ended July 31, 2004 (file number 0-27022)).</w:t>
              </w:r>
            </w:hyperlink>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4.2</w:t>
            </w:r>
          </w:p>
        </w:tc>
        <w:tc>
          <w:tcPr>
            <w:tcW w:w="9421"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caps w:val="false"/>
                  <w:smallCaps w:val="false"/>
                  <w:sz w:val="20"/>
                  <w:u w:val="single"/>
                </w:rPr>
                <w:t>Form of certificate representing Common Stock (incorporated herein by reference to Exhibit 4.2 to the Company’s Quarterly Report on Form 10-Q for the third quarter ended July 31, 2012).</w:t>
              </w:r>
            </w:hyperlink>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4.3</w:t>
            </w:r>
          </w:p>
        </w:tc>
        <w:tc>
          <w:tcPr>
            <w:tcW w:w="9421"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caps w:val="false"/>
                  <w:smallCaps w:val="false"/>
                  <w:sz w:val="20"/>
                  <w:u w:val="single"/>
                </w:rPr>
                <w:t>Corrected Credit Line Deed of Trust dated June 4, 2008 between Optical Cable Corporation as Grantor, LeClairRyan as Trustee and Northeast Bank, successor in interest to Pinnacle Bank (successor by merger with Bank of North Carolina, successor by merger with Valley Bank) as Beneficiary (incorporated herein by reference to Exhibit 4.17 of the Company’s Annual Report on Form 10-K for the period ended October 31, 2008 filed January 29, 2009).</w:t>
              </w:r>
            </w:hyperlink>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4.4</w:t>
            </w:r>
          </w:p>
        </w:tc>
        <w:tc>
          <w:tcPr>
            <w:tcW w:w="9421"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caps w:val="false"/>
                  <w:smallCaps w:val="false"/>
                  <w:sz w:val="20"/>
                  <w:u w:val="single"/>
                </w:rPr>
                <w:t>Corrected Deed of Trust, Security Agreement and Fixtures Filing dated May 30, 2008 by and between Superior Modular Products Incorporated as Grantor, LeClairRyan as Trustee and Northeast Bank, successor in interest to Pinnacle Bank (successor by merger with Bank of North Carolina, successor by merger with Valley Bank) as Beneficiary (incorporated herein by reference to Exhibit 4.18 of the Company’s Annual Report on Form 10-K for the period ended October 31, 2008 filed January 29, 2009).</w:t>
              </w:r>
            </w:hyperlink>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4.5</w:t>
            </w:r>
          </w:p>
        </w:tc>
        <w:tc>
          <w:tcPr>
            <w:tcW w:w="9421"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caps w:val="false"/>
                  <w:smallCaps w:val="false"/>
                  <w:sz w:val="20"/>
                  <w:u w:val="single"/>
                </w:rPr>
                <w:t>Term Loan B Note in the amount of $5,271,411 by Optical Cable Corporation dated April 26, 2016, for the benefit of Northeast Bank as of July 15, 2021, as successor in interest to Pinnacle Bank (successor by merger with Bank of North Carolina) (incorporated herein by reference to Exhibit 4.4 to the Company’s Current Report on Form 8-K/A filed May 3, 2016).</w:t>
              </w:r>
            </w:hyperlink>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942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4.6</w:t>
            </w:r>
          </w:p>
        </w:tc>
        <w:tc>
          <w:tcPr>
            <w:tcW w:w="9421"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caps w:val="false"/>
                  <w:smallCaps w:val="false"/>
                  <w:sz w:val="20"/>
                  <w:u w:val="single"/>
                </w:rPr>
                <w:t>Modification of Credit Line Deed of Trust dated April 26, 2016 by and between Optical Cable Corporation (successor by merger to Superior Modular Products Incorporated) as Grantor, Andrew B. Agee (in substitution of LeClairRyan) as Trustee and Northeast Bank, successor in interest to Pinnacle Bank (successor by merger with Bank of North Carolina) as Beneficiary, modifying that certain Corrected Credit Line Deed of Trust dated June 4, 2008 (incorporated herein by reference to Exhibit 4.5 to the Company’s Current Report on Form 8-K/A filed May 3, 2016).</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PART II. OTHER INFORMATION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380"/>
        <w:gridCol w:w="9750"/>
      </w:tblGrid>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4.7</w:t>
            </w:r>
          </w:p>
        </w:tc>
        <w:tc>
          <w:tcPr>
            <w:tcW w:w="9750"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caps w:val="false"/>
                  <w:smallCaps w:val="false"/>
                  <w:sz w:val="20"/>
                  <w:u w:val="single"/>
                </w:rPr>
                <w:t>Modification of Deed of Trust, Security Agreement, and Assignment of Leases and Rents dated April 26, 2016 by and between Optical Cable Corporation (successor by merger to Superior Modular Products Incorporated) as Grantor, Andrew B. Agee (in substitution of LeClairRyan) as Trustee and Northeast Bank, successor in interest to Pinnacle Bank (successor by merger with Bank of North Carolina) as Beneficiary, modifying that certain Corrected Deed of Trust, Security Agreement and Assignment of Leases and Rents dated May 30, 2008 (incorporated herein by reference to Exhibit 4.6 to the Company’s Current Report on Form 8-K/A filed May 3, 2016).</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4.8</w:t>
            </w:r>
          </w:p>
        </w:tc>
        <w:tc>
          <w:tcPr>
            <w:tcW w:w="9750"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caps w:val="false"/>
                  <w:smallCaps w:val="false"/>
                  <w:sz w:val="20"/>
                  <w:u w:val="single"/>
                </w:rPr>
                <w:t>Second Modification of Credit Line Deed of Trust dated May 2, 2018 by and between Optical Cable Corporation (successor by merger to Superior Modular Products Incorporated) as Grantor, W. Todd Ross (in substitution of LeClairRyan) as Trustee and Northeast Bank, successor in interest to Pinnacle Bank (successor by merger with Bank of North Carolina) as Beneficiary, modifying that certain Modification of Credit Line Deed of Trust dated April 26, 2016, which previously modified that certain Corrected Credit Line Deed of Trust dated June 4, 2008 (incorporated herein by reference to Exhibit 4.20 to the Company’s Quarterly Report on Form 10-Q for the second quarter ended April 30, 2018).</w:t>
              </w:r>
            </w:hyperlink>
            <w:hyperlink r:id="rId13">
              <w:r>
                <w:rPr>
                  <w:rStyle w:val="InternetLink"/>
                  <w:rFonts w:ascii="Times New Roman;Times;serif" w:hAnsi="Times New Roman;Times;serif"/>
                  <w:caps w:val="false"/>
                  <w:smallCaps w:val="false"/>
                  <w:sz w:val="20"/>
                </w:rPr>
                <w:t>  </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4.9</w:t>
            </w:r>
          </w:p>
        </w:tc>
        <w:tc>
          <w:tcPr>
            <w:tcW w:w="9750"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caps w:val="false"/>
                  <w:smallCaps w:val="false"/>
                  <w:sz w:val="20"/>
                  <w:u w:val="single"/>
                </w:rPr>
                <w:t>Second Modification of Deed of Trust, Security Agreement, and Assignment of Leases and Rents dated May 2, 2018 by and between Optical Cable Corporation (successor by merger to Superior Modular Products Incorporated) as Grantor, W. Todd Ross (in substitution of LeClairRyan) as Trustee and Northeast Bank, successor in interest to Pinnacle Bank (successor by merger with Bank of North Carolina) as Beneficiary, modifying that certain Modification of Deed of Trust, Security Agreement, and Assignment of Leases and Rents dated April 26, 2016, which previously modified that certain Corrected Deed of Trust, Security Agreement and Assignment of Leases and Rents dated May 30, 2008 (incorporated herein by reference to Exhibit 4.21 to the Company’s Quarterly Report on Form 10-Q for the second quarter ended April 30, 2018).</w:t>
              </w:r>
            </w:hyperlink>
            <w:hyperlink r:id="rId15">
              <w:r>
                <w:rPr>
                  <w:rStyle w:val="InternetLink"/>
                  <w:rFonts w:ascii="Times New Roman;Times;serif" w:hAnsi="Times New Roman;Times;serif"/>
                  <w:caps w:val="false"/>
                  <w:smallCaps w:val="false"/>
                  <w:sz w:val="20"/>
                </w:rPr>
                <w:t>  </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4.10</w:t>
            </w:r>
          </w:p>
        </w:tc>
        <w:tc>
          <w:tcPr>
            <w:tcW w:w="9750"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caps w:val="false"/>
                  <w:smallCaps w:val="false"/>
                  <w:sz w:val="20"/>
                  <w:u w:val="single"/>
                </w:rPr>
                <w:t>Loan and Security Agreement dated July 24, 2020 by and among Optical Cable Corporation along with its subsidiaries Applied Optical Systems, Inc., and Centric Solutions LLC, and North Mill Capital LLC (doing business as SLR Business Credit) (incorporated by reference to Exhibit 4.1 to the Company’s Current Report on Form 8-K filed July 30, 2020).</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4.11</w:t>
            </w:r>
          </w:p>
        </w:tc>
        <w:tc>
          <w:tcPr>
            <w:tcW w:w="9750"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caps w:val="false"/>
                  <w:smallCaps w:val="false"/>
                  <w:sz w:val="20"/>
                  <w:u w:val="single"/>
                </w:rPr>
                <w:t>Revolving Credit Master Promissory Note dated July 24, 2020 by Optical Cable Corporation along with its subsidiaries Applied Optical Systems, Inc., and Centric Solutions LLC in favor of North Mill Capital LLC (doing business as SLR Business Credit) (incorporated by reference to Exhibit 4.2 to the Company’s Current Report on Form 8-K filed July 30, 2020).</w:t>
              </w:r>
            </w:hyperlink>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283"/>
              <w:jc w:val="left"/>
              <w:rPr/>
            </w:pPr>
            <w:r>
              <w:rPr/>
              <w:t> </w:t>
            </w:r>
          </w:p>
        </w:tc>
        <w:tc>
          <w:tcPr>
            <w:tcW w:w="9750"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8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4.12</w:t>
            </w:r>
          </w:p>
        </w:tc>
        <w:tc>
          <w:tcPr>
            <w:tcW w:w="9750"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caps w:val="false"/>
                  <w:smallCaps w:val="false"/>
                  <w:sz w:val="20"/>
                  <w:u w:val="single"/>
                </w:rPr>
                <w:t>Payoff Letter from Pinnacle Bank to North Mill Capital LLC (doing business as SLR Business Credit) and Optical Cable Corporation (incorporated by reference to Exhibit 4.3 to the Company’s Current Report on Form 8-K filed July 30, 2020).</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PART II. OTHER INFORMATION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11"/>
        <w:gridCol w:w="9719"/>
      </w:tblGrid>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4.13</w:t>
            </w:r>
          </w:p>
        </w:tc>
        <w:tc>
          <w:tcPr>
            <w:tcW w:w="9719"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caps w:val="false"/>
                  <w:smallCaps w:val="false"/>
                  <w:sz w:val="20"/>
                  <w:u w:val="single"/>
                </w:rPr>
                <w:t xml:space="preserve">Amended and Restated Stockholder Protection Rights Agreement, dated as of November 2, 2021, between Optical Cable Corporation and American Stock Transfer &amp; Trust Company, LLC, as rights agent (incorporated herein by reference to Exhibit 4.1 to the Company’s Form 8-A12G/A filed with the Commission on November 5, 2021). </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4.14</w:t>
            </w:r>
          </w:p>
        </w:tc>
        <w:tc>
          <w:tcPr>
            <w:tcW w:w="9719"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caps w:val="false"/>
                  <w:smallCaps w:val="false"/>
                  <w:sz w:val="20"/>
                  <w:u w:val="single"/>
                </w:rPr>
                <w:t>Modification Agreement dated as of July 5, 2022, by and between North Mill Capital LLC (doing business as SLR Business Credit) and Optical Cable Corporation along with its subsidiaries Applied Optical Systems, Inc., and Centric Solutions LLC (incorporated by reference to Exhibit 4.1 to the Company’s Current Report on Form 8-K filed July 7, 2022).</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4.15</w:t>
            </w:r>
          </w:p>
        </w:tc>
        <w:tc>
          <w:tcPr>
            <w:tcW w:w="9719"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caps w:val="false"/>
                  <w:smallCaps w:val="false"/>
                  <w:sz w:val="20"/>
                  <w:u w:val="single"/>
                </w:rPr>
                <w:t>Omnibus Amendment of Loan Documents dated October 31, 2023 by and between Optical Cable Corporation and Northeast Bank (incorporated herein by reference to Exhibit 4.1 to the Company’s Current Report on Form 8-K filed November 3, 2023).</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4.16</w:t>
            </w:r>
          </w:p>
        </w:tc>
        <w:tc>
          <w:tcPr>
            <w:tcW w:w="9719"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caps w:val="false"/>
                  <w:smallCaps w:val="false"/>
                  <w:sz w:val="20"/>
                  <w:u w:val="single"/>
                </w:rPr>
                <w:t>Business Loan Agreement dated April 30, 2026, by and between Optical Cable Corporation and Freedom First Federal Credit Union (incorporated herein by reference to Exhibit 4.1 to the Company’s Current Report on Form 8-K filed May 6, 2026).</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4.17</w:t>
            </w:r>
          </w:p>
        </w:tc>
        <w:tc>
          <w:tcPr>
            <w:tcW w:w="9719"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caps w:val="false"/>
                  <w:smallCaps w:val="false"/>
                  <w:sz w:val="20"/>
                  <w:u w:val="single"/>
                </w:rPr>
                <w:t>Promissory Note dated April 30, 2026, by Optical Cable Corporation in favor of Freedom First Federal Credit Union (incorporated herein by reference to Exhibit 4.2 to the Company’s Current Report on Form 8-K filed May 6, 2026).</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4.18</w:t>
            </w:r>
          </w:p>
        </w:tc>
        <w:tc>
          <w:tcPr>
            <w:tcW w:w="9719"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caps w:val="false"/>
                  <w:smallCaps w:val="false"/>
                  <w:sz w:val="20"/>
                  <w:u w:val="single"/>
                </w:rPr>
                <w:t>Deed of Trust dated April 30, 2026, by Optical Cable Corporation, as Grantor, in favor of Freedom First Federal Credit Union, as Beneficiary (incorporated herein by reference to Exhibit 4.3 to the Company’s Current Report on Form 8-K filed May 6, 2026).</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4.19</w:t>
            </w:r>
          </w:p>
        </w:tc>
        <w:tc>
          <w:tcPr>
            <w:tcW w:w="9719"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caps w:val="false"/>
                  <w:smallCaps w:val="false"/>
                  <w:sz w:val="20"/>
                  <w:u w:val="single"/>
                </w:rPr>
                <w:t>Assignment of Rents dated April 30, 2026, by Optical Cable Corporation, as Grantor, in favor of Freedom First Federal Credit Union, as Grantee/Lender (incorporated herein by reference to Exhibit 4.4 to the Company’s Current Report on Form 8-K filed May 6, 2026).</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719"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caps w:val="false"/>
                  <w:smallCaps w:val="false"/>
                  <w:sz w:val="20"/>
                  <w:u w:val="single"/>
                </w:rPr>
                <w:t>Optical Cable Corporation 2017 Stock Incentive Plan (incorporated by reference to Appendix A to the Company’s definitive proxy statement on Form 14A filed March 13, 2017).</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9719"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caps w:val="false"/>
                  <w:smallCaps w:val="false"/>
                  <w:sz w:val="20"/>
                  <w:u w:val="single"/>
                </w:rPr>
                <w:t>First Amendment to the Optical Cable Corporation 2017 Stock Incentive Plan effective March 29, 2022 (incorporated herein by reference to Exhibit 10.16 of the Company’s Quarterly Report on Form 10-Q for the period ended July 31, 2022 filed September 12, 2022).</w:t>
              </w:r>
            </w:hyperlink>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719"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9719"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caps w:val="false"/>
                  <w:smallCaps w:val="false"/>
                  <w:sz w:val="20"/>
                  <w:u w:val="single"/>
                </w:rPr>
                <w:t>Second Amendment to the Optical Cable Corporation 2017 Stock Incentive Plan effective March 25, 2025 (incorporated herein by reference to Appendix A to the Company’s definitive proxy statement on Form 14A filed February 28, 2025).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PART II. OTHER INFORMATION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512"/>
        <w:gridCol w:w="9618"/>
      </w:tblGrid>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618"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caps w:val="false"/>
                  <w:smallCaps w:val="false"/>
                  <w:sz w:val="20"/>
                  <w:u w:val="single"/>
                </w:rPr>
                <w:t>Amended and Restated Employment Agreement by and between Optical Cable Corporation and Neil D. Wilkin, Jr. effective April 11, 2011 (incorporated herein by reference to Exhibit 10.2 of the Company’s Current Report on Form 8-K filed April 15, 2011).</w:t>
              </w:r>
            </w:hyperlink>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9618"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caps w:val="false"/>
                  <w:smallCaps w:val="false"/>
                  <w:sz w:val="20"/>
                  <w:u w:val="single"/>
                </w:rPr>
                <w:t xml:space="preserve">Amendment, effective December 18, 2012, to Amended and Restated Employment Agreement by and between Optical Cable Corporation and Neil D. Wilkin, Jr. effective April 11, 2011 (incorporated herein by reference to Exhibit 10.16 of the Company’s Quarterly Report on Form 10-Q for the period ended January 31, 2013 filed March 15, 2013). </w:t>
              </w:r>
            </w:hyperlink>
            <w:hyperlink r:id="rId31">
              <w:r>
                <w:rPr>
                  <w:rStyle w:val="InternetLink"/>
                  <w:rFonts w:ascii="Times New Roman;Times;serif" w:hAnsi="Times New Roman;Times;serif"/>
                  <w:caps w:val="false"/>
                  <w:smallCaps w:val="false"/>
                  <w:sz w:val="20"/>
                </w:rPr>
                <w:t> </w:t>
              </w:r>
            </w:hyperlink>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10.6*</w:t>
            </w:r>
          </w:p>
        </w:tc>
        <w:tc>
          <w:tcPr>
            <w:tcW w:w="9618" w:type="dxa"/>
            <w:tcBorders/>
            <w:vAlign w:val="center"/>
          </w:tcPr>
          <w:p>
            <w:pPr>
              <w:pStyle w:val="TableContents"/>
              <w:bidi w:val="0"/>
              <w:spacing w:before="0" w:after="0"/>
              <w:ind w:left="0" w:right="0" w:hanging="0"/>
              <w:jc w:val="both"/>
              <w:rPr/>
            </w:pPr>
            <w:hyperlink r:id="rId32">
              <w:r>
                <w:rPr>
                  <w:rStyle w:val="InternetLink"/>
                  <w:rFonts w:ascii="Times New Roman;Times;serif" w:hAnsi="Times New Roman;Times;serif"/>
                  <w:caps w:val="false"/>
                  <w:smallCaps w:val="false"/>
                  <w:sz w:val="20"/>
                  <w:u w:val="single"/>
                </w:rPr>
                <w:t>Second Amendment, effective March 14, 2014, to Amended and Restated Employment Agreement by and between Optical Cable Corporation and Neil D. Wilkin, Jr. effective April 11, 2011, as amended December 18, 2012 (incorporated herein by reference to Exhibit 10.19 of the Company’s Quarterly Report on Form 10-Q for the period ended January 31, 2014 filed March 17, 2014).</w:t>
              </w:r>
            </w:hyperlink>
            <w:hyperlink r:id="rId33">
              <w:r>
                <w:rPr>
                  <w:rStyle w:val="InternetLink"/>
                  <w:rFonts w:ascii="Times New Roman;Times;serif" w:hAnsi="Times New Roman;Times;serif"/>
                  <w:caps w:val="false"/>
                  <w:smallCaps w:val="false"/>
                  <w:sz w:val="20"/>
                </w:rPr>
                <w:t> </w:t>
              </w:r>
            </w:hyperlink>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10.7*</w:t>
            </w:r>
          </w:p>
        </w:tc>
        <w:tc>
          <w:tcPr>
            <w:tcW w:w="9618" w:type="dxa"/>
            <w:tcBorders/>
            <w:vAlign w:val="center"/>
          </w:tcPr>
          <w:p>
            <w:pPr>
              <w:pStyle w:val="TableContents"/>
              <w:bidi w:val="0"/>
              <w:spacing w:before="0" w:after="0"/>
              <w:ind w:left="0" w:right="0" w:hanging="0"/>
              <w:jc w:val="both"/>
              <w:rPr/>
            </w:pPr>
            <w:hyperlink r:id="rId34">
              <w:r>
                <w:rPr>
                  <w:rStyle w:val="InternetLink"/>
                  <w:rFonts w:ascii="Times New Roman;Times;serif" w:hAnsi="Times New Roman;Times;serif"/>
                  <w:caps w:val="false"/>
                  <w:smallCaps w:val="false"/>
                  <w:sz w:val="20"/>
                  <w:u w:val="single"/>
                </w:rPr>
                <w:t>Amended and Restated Employment Agreement by and between Optical Cable Corporation and Tracy G. Smith effective April 11, 2011 (incorporated herein by reference to Exhibit 10.1 of the Company’s Current Report on Form 8-K filed April 15, 2011).</w:t>
              </w:r>
            </w:hyperlink>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10.8*</w:t>
            </w:r>
          </w:p>
        </w:tc>
        <w:tc>
          <w:tcPr>
            <w:tcW w:w="9618" w:type="dxa"/>
            <w:tcBorders/>
            <w:vAlign w:val="center"/>
          </w:tcPr>
          <w:p>
            <w:pPr>
              <w:pStyle w:val="TableContents"/>
              <w:bidi w:val="0"/>
              <w:spacing w:before="0" w:after="0"/>
              <w:ind w:left="0" w:right="0" w:hanging="0"/>
              <w:jc w:val="both"/>
              <w:rPr/>
            </w:pPr>
            <w:hyperlink r:id="rId35">
              <w:r>
                <w:rPr>
                  <w:rStyle w:val="InternetLink"/>
                  <w:rFonts w:ascii="Times New Roman;Times;serif" w:hAnsi="Times New Roman;Times;serif"/>
                  <w:caps w:val="false"/>
                  <w:smallCaps w:val="false"/>
                  <w:sz w:val="20"/>
                  <w:u w:val="single"/>
                </w:rPr>
                <w:t>Amendment, effective December 18, 2012, to Amended and Restated Employment Agreement by and between Optical Cable Corporation and Tracy G. Smith effective April 11, 2011 (incorporated herein by reference to Exhibit 10.18 of the Company’s Quarterly Report on Form 10-Q for the period ended January 31, 2013 filed March 15, 2013).</w:t>
              </w:r>
            </w:hyperlink>
            <w:hyperlink r:id="rId36">
              <w:r>
                <w:rPr>
                  <w:rStyle w:val="InternetLink"/>
                  <w:rFonts w:ascii="Times New Roman;Times;serif" w:hAnsi="Times New Roman;Times;serif"/>
                  <w:caps w:val="false"/>
                  <w:smallCaps w:val="false"/>
                  <w:sz w:val="20"/>
                </w:rPr>
                <w:t> </w:t>
              </w:r>
            </w:hyperlink>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10.9*</w:t>
            </w:r>
          </w:p>
        </w:tc>
        <w:tc>
          <w:tcPr>
            <w:tcW w:w="9618" w:type="dxa"/>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caps w:val="false"/>
                  <w:smallCaps w:val="false"/>
                  <w:sz w:val="20"/>
                  <w:u w:val="single"/>
                </w:rPr>
                <w:t>Second Amendment, effective March 14, 2014, to Amended and Restated Employment Agreement by and between Optical Cable Corporation and Tracy G. Smith effective April 11, 2011, as amended December 18, 2012 (incorporated herein by reference to Exhibit 10.22 of the Company’s Quarterly Report on Form 10-Q for the period ended January 31, 2014 filed March 17, 2014).</w:t>
              </w:r>
            </w:hyperlink>
            <w:hyperlink r:id="rId38">
              <w:r>
                <w:rPr>
                  <w:rStyle w:val="InternetLink"/>
                  <w:rFonts w:ascii="Times New Roman;Times;serif" w:hAnsi="Times New Roman;Times;serif"/>
                  <w:caps w:val="false"/>
                  <w:smallCaps w:val="false"/>
                  <w:sz w:val="20"/>
                </w:rPr>
                <w:t> </w:t>
              </w:r>
            </w:hyperlink>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10.10*</w:t>
            </w:r>
          </w:p>
        </w:tc>
        <w:tc>
          <w:tcPr>
            <w:tcW w:w="9618"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caps w:val="false"/>
                  <w:smallCaps w:val="false"/>
                  <w:sz w:val="20"/>
                  <w:u w:val="single"/>
                </w:rPr>
                <w:t>Form of vesting award agreement for non-employee Board members under the Optical Cable Corporation 2017 Stock Incentive Plan (incorporated herein by reference to Exhibit 10.21 of the Company’s Quarterly Report on Form 10-Q for the period ended April 30, 2017 filed June 13, 2017).</w:t>
              </w:r>
            </w:hyperlink>
            <w:hyperlink r:id="rId40">
              <w:r>
                <w:rPr>
                  <w:rStyle w:val="InternetLink"/>
                  <w:rFonts w:ascii="Times New Roman;Times;serif" w:hAnsi="Times New Roman;Times;serif"/>
                  <w:caps w:val="false"/>
                  <w:smallCaps w:val="false"/>
                  <w:sz w:val="20"/>
                </w:rPr>
                <w:t> </w:t>
              </w:r>
            </w:hyperlink>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10.11*</w:t>
            </w:r>
          </w:p>
        </w:tc>
        <w:tc>
          <w:tcPr>
            <w:tcW w:w="9618"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caps w:val="false"/>
                  <w:smallCaps w:val="false"/>
                  <w:sz w:val="20"/>
                  <w:u w:val="single"/>
                </w:rPr>
                <w:t xml:space="preserve">Form of operational performance (Company financial performance measure) vesting award agreement under the Optical Cable Corporation 2017 Stock Incentive Plan (incorporated herein by reference to Exhibit 10.15 of the Company’s Annual Report on Form 10-K for the period ended October 31, 2021 filed December 20, 2021). </w:t>
              </w:r>
            </w:hyperlink>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283"/>
              <w:jc w:val="left"/>
              <w:rPr/>
            </w:pPr>
            <w:r>
              <w:rPr/>
              <w:t> </w:t>
            </w:r>
          </w:p>
        </w:tc>
        <w:tc>
          <w:tcPr>
            <w:tcW w:w="9618"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512"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10.12*</w:t>
            </w:r>
          </w:p>
        </w:tc>
        <w:tc>
          <w:tcPr>
            <w:tcW w:w="9618" w:type="dxa"/>
            <w:tcBorders/>
            <w:vAlign w:val="center"/>
          </w:tcPr>
          <w:p>
            <w:pPr>
              <w:pStyle w:val="TableContents"/>
              <w:bidi w:val="0"/>
              <w:spacing w:before="0" w:after="0"/>
              <w:ind w:left="0" w:right="0" w:hanging="0"/>
              <w:jc w:val="both"/>
              <w:rPr/>
            </w:pPr>
            <w:hyperlink r:id="rId42">
              <w:r>
                <w:rPr>
                  <w:rStyle w:val="InternetLink"/>
                  <w:rFonts w:ascii="Times New Roman;Times;serif" w:hAnsi="Times New Roman;Times;serif"/>
                  <w:caps w:val="false"/>
                  <w:smallCaps w:val="false"/>
                  <w:sz w:val="20"/>
                  <w:u w:val="single"/>
                </w:rPr>
                <w:t>Form of vesting award agreement for non-employee Board members under the Optical Cable Corporation 2017 Stock Incentive Plan, as amended (incorporated herein by reference to Exhibit 10.11 of the Company’s Quarterly Report on Form 10-Q for the period ended July 31, 2024 filed September 11, 2024).</w:t>
              </w:r>
            </w:hyperlink>
            <w:hyperlink r:id="rId43">
              <w:r>
                <w:rPr>
                  <w:rStyle w:val="InternetLink"/>
                  <w:rFonts w:ascii="Times New Roman;Times;serif" w:hAnsi="Times New Roman;Times;serif"/>
                  <w:caps w:val="false"/>
                  <w:smallCaps w:val="false"/>
                  <w:sz w:val="20"/>
                </w:rPr>
                <w:t> </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PART II. OTHER INFORMATION</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
        <w:gridCol w:w="499"/>
        <w:gridCol w:w="9631"/>
      </w:tblGrid>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10.13*</w:t>
            </w:r>
          </w:p>
        </w:tc>
        <w:tc>
          <w:tcPr>
            <w:tcW w:w="9631" w:type="dxa"/>
            <w:tcBorders/>
            <w:vAlign w:val="center"/>
          </w:tcPr>
          <w:p>
            <w:pPr>
              <w:pStyle w:val="TableContents"/>
              <w:bidi w:val="0"/>
              <w:spacing w:before="0" w:after="0"/>
              <w:ind w:left="0" w:right="0" w:hanging="0"/>
              <w:jc w:val="both"/>
              <w:rPr/>
            </w:pPr>
            <w:hyperlink r:id="rId44">
              <w:r>
                <w:rPr>
                  <w:rStyle w:val="InternetLink"/>
                  <w:rFonts w:ascii="Times New Roman;Times;serif" w:hAnsi="Times New Roman;Times;serif"/>
                  <w:caps w:val="false"/>
                  <w:smallCaps w:val="false"/>
                  <w:sz w:val="20"/>
                  <w:u w:val="single"/>
                </w:rPr>
                <w:t>Form of operational performance (Company financial performance measure) vesting award agreement under the Optical Cable Corporation 2017 Stock Incentive Plan, as amended (incorporated herein by reference to Exhibit 10.12 of the Company’s Quarterly Report on Form 10-Q for the period ended July 31, 2024 filed September 11, 2024).</w:t>
              </w:r>
            </w:hyperlink>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10.14</w:t>
            </w:r>
          </w:p>
        </w:tc>
        <w:tc>
          <w:tcPr>
            <w:tcW w:w="9631" w:type="dxa"/>
            <w:tcBorders/>
            <w:vAlign w:val="center"/>
          </w:tcPr>
          <w:p>
            <w:pPr>
              <w:pStyle w:val="TableContents"/>
              <w:bidi w:val="0"/>
              <w:spacing w:before="0" w:after="0"/>
              <w:ind w:left="0" w:right="0" w:hanging="0"/>
              <w:jc w:val="both"/>
              <w:rPr/>
            </w:pPr>
            <w:hyperlink r:id="rId45">
              <w:r>
                <w:rPr>
                  <w:rStyle w:val="InternetLink"/>
                  <w:rFonts w:ascii="Times New Roman;Times;serif" w:hAnsi="Times New Roman;Times;serif"/>
                  <w:caps w:val="false"/>
                  <w:smallCaps w:val="false"/>
                  <w:sz w:val="20"/>
                  <w:u w:val="single"/>
                </w:rPr>
                <w:t>Stock Purchase Agreement dated July 7, 2025 by and between Optical Cable Corporation and Lightera, LLC (incorporated herein by reference to Exhibit 10.1 of the Company’s Current Report on Form 8-K filed July 10, 2025).</w:t>
              </w:r>
            </w:hyperlink>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11.1</w:t>
            </w:r>
          </w:p>
        </w:tc>
        <w:tc>
          <w:tcPr>
            <w:tcW w:w="9631" w:type="dxa"/>
            <w:tcBorders/>
            <w:vAlign w:val="center"/>
          </w:tcPr>
          <w:p>
            <w:pPr>
              <w:pStyle w:val="TableContents"/>
              <w:bidi w:val="0"/>
              <w:spacing w:before="0" w:after="0"/>
              <w:ind w:left="0" w:right="0" w:hanging="0"/>
              <w:jc w:val="both"/>
              <w:rPr/>
            </w:pPr>
            <w:hyperlink w:anchor="ex_11">
              <w:r>
                <w:rPr>
                  <w:rStyle w:val="InternetLink"/>
                  <w:rFonts w:ascii="Times New Roman;Times;serif" w:hAnsi="Times New Roman;Times;serif"/>
                  <w:caps w:val="false"/>
                  <w:smallCaps w:val="false"/>
                  <w:sz w:val="20"/>
                </w:rPr>
                <w:t>Statement regarding computation of per share earnings (incorporated by reference to note 9 of the Condensed Notes to Condensed Consolidated Financial Statements contained herein).</w:t>
              </w:r>
            </w:hyperlink>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9631" w:type="dxa"/>
            <w:tcBorders/>
            <w:vAlign w:val="center"/>
          </w:tcPr>
          <w:p>
            <w:pPr>
              <w:pStyle w:val="TableContents"/>
              <w:bidi w:val="0"/>
              <w:spacing w:before="0" w:after="0"/>
              <w:ind w:left="0" w:right="0" w:hanging="0"/>
              <w:jc w:val="both"/>
              <w:rPr/>
            </w:pPr>
            <w:hyperlink w:anchor="ex_1011129.htm">
              <w:r>
                <w:rPr>
                  <w:rStyle w:val="InternetLink"/>
                  <w:rFonts w:ascii="Times New Roman;Times;serif" w:hAnsi="Times New Roman;Times;serif"/>
                  <w:caps w:val="false"/>
                  <w:smallCaps w:val="false"/>
                  <w:sz w:val="20"/>
                </w:rPr>
                <w:t>Certification of the Company’s Chief Executive Officer pursuant to Section 302 of the Sarbanes-Oxley Act of 2002. FILED HEREWITH.</w:t>
              </w:r>
            </w:hyperlink>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9631" w:type="dxa"/>
            <w:tcBorders/>
            <w:vAlign w:val="center"/>
          </w:tcPr>
          <w:p>
            <w:pPr>
              <w:pStyle w:val="TableContents"/>
              <w:bidi w:val="0"/>
              <w:spacing w:before="0" w:after="0"/>
              <w:ind w:left="0" w:right="0" w:hanging="0"/>
              <w:jc w:val="both"/>
              <w:rPr/>
            </w:pPr>
            <w:hyperlink w:anchor="ex_1011130.htm">
              <w:r>
                <w:rPr>
                  <w:rStyle w:val="InternetLink"/>
                  <w:rFonts w:ascii="Times New Roman;Times;serif" w:hAnsi="Times New Roman;Times;serif"/>
                  <w:caps w:val="false"/>
                  <w:smallCaps w:val="false"/>
                  <w:sz w:val="20"/>
                </w:rPr>
                <w:t>Certification of the Company’s Chief Financial Officer pursuant to Section 302 of the Sarbanes-Oxley Act of 2002. FILED HEREWITH.</w:t>
              </w:r>
            </w:hyperlink>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9631" w:type="dxa"/>
            <w:tcBorders/>
            <w:vAlign w:val="center"/>
          </w:tcPr>
          <w:p>
            <w:pPr>
              <w:pStyle w:val="TableContents"/>
              <w:bidi w:val="0"/>
              <w:spacing w:before="0" w:after="0"/>
              <w:ind w:left="0" w:right="0" w:hanging="0"/>
              <w:jc w:val="both"/>
              <w:rPr/>
            </w:pPr>
            <w:hyperlink w:anchor="ex_1011131.htm">
              <w:r>
                <w:rPr>
                  <w:rStyle w:val="InternetLink"/>
                  <w:rFonts w:ascii="Times New Roman;Times;serif" w:hAnsi="Times New Roman;Times;serif"/>
                  <w:caps w:val="false"/>
                  <w:smallCaps w:val="false"/>
                  <w:sz w:val="20"/>
                </w:rPr>
                <w:t>Certification of the Company’s Chief Executive Officer pursuant to 18 U.S.C. Section 1350 as adopted pursuant to Section 906 of the Sarbanes-Oxley Act of 2002. FURNISHED HEREWITH.</w:t>
              </w:r>
            </w:hyperlink>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9631" w:type="dxa"/>
            <w:tcBorders/>
            <w:vAlign w:val="center"/>
          </w:tcPr>
          <w:p>
            <w:pPr>
              <w:pStyle w:val="TableContents"/>
              <w:bidi w:val="0"/>
              <w:spacing w:before="0" w:after="0"/>
              <w:ind w:left="0" w:right="0" w:hanging="0"/>
              <w:jc w:val="both"/>
              <w:rPr/>
            </w:pPr>
            <w:hyperlink w:anchor="ex_1011132.htm">
              <w:r>
                <w:rPr>
                  <w:rStyle w:val="InternetLink"/>
                  <w:rFonts w:ascii="Times New Roman;Times;serif" w:hAnsi="Times New Roman;Times;serif"/>
                  <w:caps w:val="false"/>
                  <w:smallCaps w:val="false"/>
                  <w:sz w:val="20"/>
                </w:rPr>
                <w:t>Certification of the Company’s Chief Financial Officer pursuant to 18 U.S.C. Section 1350 as adopted pursuant to Section 906 of the Sarbanes-Oxley Act of 2002. FURNISHED HEREWITH.</w:t>
              </w:r>
            </w:hyperlink>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97</w:t>
            </w:r>
          </w:p>
        </w:tc>
        <w:tc>
          <w:tcPr>
            <w:tcW w:w="9631"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caps w:val="false"/>
                  <w:smallCaps w:val="false"/>
                  <w:sz w:val="20"/>
                  <w:u w:val="single"/>
                </w:rPr>
                <w:t>Optical Cable Corporation Compensation Recovery Policy, effective November 30, 2023 (incorporated herein by reference to Exhibit 97 of the Company’s Annual Report on Form 10-K for the period ended October 31, 2023 filed December 20, 2023).</w:t>
              </w:r>
            </w:hyperlink>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963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following materials from the Company’s Quarterly Report on Form 10-Q for the quarter ended July 31, 2026, formatted in iXBRL (Inline eXtensible Business Reporting Language): (i) Condensed Consolidated Balance Sheets at July 31, 2026 and October 31, 2025, (ii) Condensed Consolidated Statements of Operations for the three months and nine months ended July 31, 2026 and 2025, (iii) Condensed Consolidated Statements of Shareholders’ Equity for the three months and nine months ended July 31, 2026 and 2025, (iv) Condensed Consolidated Statements of Cash Flows for the nine months ended July 31, 2026 and 2025, and (v) Condensed Notes to Condensed Consolidated Financial Statements. FILED HEREWITH.</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283"/>
              <w:jc w:val="left"/>
              <w:rPr/>
            </w:pPr>
            <w:r>
              <w:rPr/>
              <w:t> </w:t>
            </w:r>
          </w:p>
        </w:tc>
        <w:tc>
          <w:tcPr>
            <w:tcW w:w="9631"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99"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963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bl>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4855" w:type="dxa"/>
        <w:jc w:val="left"/>
        <w:tblInd w:w="0" w:type="dxa"/>
        <w:tblLayout w:type="fixed"/>
        <w:tblCellMar>
          <w:top w:w="0" w:type="dxa"/>
          <w:left w:w="0" w:type="dxa"/>
          <w:bottom w:w="0" w:type="dxa"/>
          <w:right w:w="0" w:type="dxa"/>
        </w:tblCellMar>
      </w:tblPr>
      <w:tblGrid>
        <w:gridCol w:w="125"/>
        <w:gridCol w:w="4730"/>
      </w:tblGrid>
      <w:tr>
        <w:trPr/>
        <w:tc>
          <w:tcPr>
            <w:tcW w:w="1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t>
            </w:r>
          </w:p>
        </w:tc>
        <w:tc>
          <w:tcPr>
            <w:tcW w:w="47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contract or compensatory plan or agreement.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14" w:name="signatures"/>
      <w:bookmarkEnd w:id="14"/>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30" w:type="dxa"/>
        <w:jc w:val="left"/>
        <w:tblInd w:w="0" w:type="dxa"/>
        <w:tblLayout w:type="fixed"/>
        <w:tblCellMar>
          <w:top w:w="0" w:type="dxa"/>
          <w:left w:w="0" w:type="dxa"/>
          <w:bottom w:w="0" w:type="dxa"/>
          <w:right w:w="0" w:type="dxa"/>
        </w:tblCellMar>
      </w:tblPr>
      <w:tblGrid>
        <w:gridCol w:w="2375"/>
        <w:gridCol w:w="3395"/>
        <w:gridCol w:w="60"/>
      </w:tblGrid>
      <w:tr>
        <w:trPr/>
        <w:tc>
          <w:tcPr>
            <w:tcW w:w="2375" w:type="dxa"/>
            <w:tcBorders/>
          </w:tcPr>
          <w:p>
            <w:pPr>
              <w:pStyle w:val="TableContents"/>
              <w:bidi w:val="0"/>
              <w:spacing w:before="0" w:after="0"/>
              <w:ind w:left="0" w:right="0" w:hanging="0"/>
              <w:jc w:val="left"/>
              <w:rPr/>
            </w:pPr>
            <w:r>
              <w:rPr/>
              <w:t> </w:t>
            </w:r>
          </w:p>
        </w:tc>
        <w:tc>
          <w:tcPr>
            <w:tcW w:w="3395" w:type="dxa"/>
            <w:tcBorders/>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OPTICAL CABLE CORPORATION</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(Registrant)</w:t>
            </w:r>
          </w:p>
        </w:tc>
        <w:tc>
          <w:tcPr>
            <w:tcW w:w="60" w:type="dxa"/>
            <w:tcBorders/>
          </w:tcPr>
          <w:p>
            <w:pPr>
              <w:pStyle w:val="TableContents"/>
              <w:bidi w:val="0"/>
              <w:spacing w:before="0" w:after="0"/>
              <w:ind w:left="0" w:right="0" w:hanging="0"/>
              <w:jc w:val="left"/>
              <w:rPr/>
            </w:pPr>
            <w:r>
              <w:rPr/>
              <w:t> </w:t>
            </w:r>
          </w:p>
        </w:tc>
      </w:tr>
      <w:tr>
        <w:trPr/>
        <w:tc>
          <w:tcPr>
            <w:tcW w:w="2375" w:type="dxa"/>
            <w:tcBorders/>
          </w:tcPr>
          <w:p>
            <w:pPr>
              <w:pStyle w:val="TableContents"/>
              <w:bidi w:val="0"/>
              <w:spacing w:before="0" w:after="0"/>
              <w:ind w:left="0" w:right="0" w:hanging="0"/>
              <w:jc w:val="left"/>
              <w:rPr/>
            </w:pPr>
            <w:r>
              <w:rPr/>
              <w:t> </w:t>
            </w:r>
          </w:p>
        </w:tc>
        <w:tc>
          <w:tcPr>
            <w:tcW w:w="3395" w:type="dxa"/>
            <w:tcBorders/>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375" w:type="dxa"/>
            <w:tcBorders/>
          </w:tcPr>
          <w:p>
            <w:pPr>
              <w:pStyle w:val="TableContents"/>
              <w:bidi w:val="0"/>
              <w:spacing w:before="0" w:after="283"/>
              <w:jc w:val="left"/>
              <w:rPr/>
            </w:pPr>
            <w:r>
              <w:rPr/>
              <w:t> </w:t>
            </w:r>
          </w:p>
        </w:tc>
        <w:tc>
          <w:tcPr>
            <w:tcW w:w="339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375" w:type="dxa"/>
            <w:tcBorders/>
          </w:tcPr>
          <w:p>
            <w:pPr>
              <w:pStyle w:val="TableContents"/>
              <w:bidi w:val="0"/>
              <w:spacing w:before="0" w:after="0"/>
              <w:ind w:left="0" w:right="0" w:hanging="0"/>
              <w:jc w:val="left"/>
              <w:rPr/>
            </w:pPr>
            <w:r>
              <w:rPr/>
              <w:t> </w:t>
            </w:r>
          </w:p>
        </w:tc>
        <w:tc>
          <w:tcPr>
            <w:tcW w:w="3395" w:type="dxa"/>
            <w:tcBorders/>
            <w:vAlign w:val="bottom"/>
          </w:tcPr>
          <w:p>
            <w:pPr>
              <w:pStyle w:val="TableContents"/>
              <w:bidi w:val="0"/>
              <w:spacing w:before="0" w:after="0"/>
              <w:ind w:left="0" w:right="0" w:hanging="0"/>
              <w:jc w:val="left"/>
              <w:rPr/>
            </w:pPr>
            <w:r>
              <w:rPr/>
              <w:t> </w:t>
            </w:r>
          </w:p>
        </w:tc>
        <w:tc>
          <w:tcPr>
            <w:tcW w:w="60" w:type="dxa"/>
            <w:tcBorders/>
          </w:tcPr>
          <w:p>
            <w:pPr>
              <w:pStyle w:val="TableContents"/>
              <w:bidi w:val="0"/>
              <w:spacing w:before="0" w:after="0"/>
              <w:ind w:left="0" w:right="0" w:hanging="0"/>
              <w:jc w:val="left"/>
              <w:rPr/>
            </w:pPr>
            <w:r>
              <w:rPr/>
              <w:t> </w:t>
            </w:r>
          </w:p>
        </w:tc>
      </w:tr>
      <w:tr>
        <w:trPr/>
        <w:tc>
          <w:tcPr>
            <w:tcW w:w="237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3395"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Neil D. Wilkin, Jr.</w:t>
            </w:r>
          </w:p>
        </w:tc>
        <w:tc>
          <w:tcPr>
            <w:tcW w:w="60" w:type="dxa"/>
            <w:tcBorders/>
          </w:tcPr>
          <w:p>
            <w:pPr>
              <w:pStyle w:val="TableContents"/>
              <w:bidi w:val="0"/>
              <w:spacing w:before="0" w:after="0"/>
              <w:ind w:left="0" w:right="0" w:hanging="0"/>
              <w:jc w:val="left"/>
              <w:rPr/>
            </w:pPr>
            <w:r>
              <w:rPr/>
              <w:t> </w:t>
            </w:r>
          </w:p>
        </w:tc>
      </w:tr>
      <w:tr>
        <w:trPr/>
        <w:tc>
          <w:tcPr>
            <w:tcW w:w="2375" w:type="dxa"/>
            <w:tcBorders/>
          </w:tcPr>
          <w:p>
            <w:pPr>
              <w:pStyle w:val="TableContents"/>
              <w:bidi w:val="0"/>
              <w:spacing w:before="0" w:after="0"/>
              <w:ind w:left="0" w:right="0" w:hanging="0"/>
              <w:jc w:val="left"/>
              <w:rPr/>
            </w:pPr>
            <w:r>
              <w:rPr/>
              <w:t> </w:t>
            </w:r>
          </w:p>
        </w:tc>
        <w:tc>
          <w:tcPr>
            <w:tcW w:w="339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Neil D. Wilkin, Jr.</w:t>
              <w:br/>
              <w:t>Chairman of the Board of Directors,</w:t>
            </w:r>
          </w:p>
        </w:tc>
        <w:tc>
          <w:tcPr>
            <w:tcW w:w="60" w:type="dxa"/>
            <w:tcBorders/>
          </w:tcPr>
          <w:p>
            <w:pPr>
              <w:pStyle w:val="TableContents"/>
              <w:bidi w:val="0"/>
              <w:spacing w:before="0" w:after="0"/>
              <w:ind w:left="0" w:right="0" w:hanging="0"/>
              <w:jc w:val="left"/>
              <w:rPr/>
            </w:pPr>
            <w:r>
              <w:rPr/>
              <w:t> </w:t>
            </w:r>
          </w:p>
        </w:tc>
      </w:tr>
      <w:tr>
        <w:trPr/>
        <w:tc>
          <w:tcPr>
            <w:tcW w:w="2375" w:type="dxa"/>
            <w:tcBorders/>
          </w:tcPr>
          <w:p>
            <w:pPr>
              <w:pStyle w:val="TableContents"/>
              <w:bidi w:val="0"/>
              <w:spacing w:before="0" w:after="0"/>
              <w:ind w:left="0" w:right="0" w:hanging="0"/>
              <w:jc w:val="left"/>
              <w:rPr/>
            </w:pPr>
            <w:r>
              <w:rPr/>
              <w:t> </w:t>
            </w:r>
          </w:p>
        </w:tc>
        <w:tc>
          <w:tcPr>
            <w:tcW w:w="3395"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60" w:type="dxa"/>
            <w:tcBorders/>
          </w:tcPr>
          <w:p>
            <w:pPr>
              <w:pStyle w:val="TableContents"/>
              <w:bidi w:val="0"/>
              <w:spacing w:before="0" w:after="0"/>
              <w:ind w:left="0" w:right="0" w:hanging="0"/>
              <w:jc w:val="left"/>
              <w:rPr/>
            </w:pPr>
            <w:r>
              <w:rPr/>
              <w:t> </w:t>
            </w:r>
          </w:p>
        </w:tc>
      </w:tr>
      <w:tr>
        <w:trPr/>
        <w:tc>
          <w:tcPr>
            <w:tcW w:w="2375" w:type="dxa"/>
            <w:tcBorders/>
          </w:tcPr>
          <w:p>
            <w:pPr>
              <w:pStyle w:val="TableContents"/>
              <w:bidi w:val="0"/>
              <w:spacing w:before="0" w:after="283"/>
              <w:jc w:val="left"/>
              <w:rPr/>
            </w:pPr>
            <w:r>
              <w:rPr/>
              <w:t> </w:t>
            </w:r>
          </w:p>
        </w:tc>
        <w:tc>
          <w:tcPr>
            <w:tcW w:w="339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375" w:type="dxa"/>
            <w:tcBorders/>
          </w:tcPr>
          <w:p>
            <w:pPr>
              <w:pStyle w:val="TableContents"/>
              <w:bidi w:val="0"/>
              <w:spacing w:before="0" w:after="283"/>
              <w:jc w:val="left"/>
              <w:rPr/>
            </w:pPr>
            <w:r>
              <w:rPr/>
              <w:t> </w:t>
            </w:r>
          </w:p>
        </w:tc>
        <w:tc>
          <w:tcPr>
            <w:tcW w:w="339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375" w:type="dxa"/>
            <w:tcBorders/>
          </w:tcPr>
          <w:p>
            <w:pPr>
              <w:pStyle w:val="TableContents"/>
              <w:bidi w:val="0"/>
              <w:spacing w:before="0" w:after="283"/>
              <w:jc w:val="left"/>
              <w:rPr/>
            </w:pPr>
            <w:r>
              <w:rPr/>
              <w:t> </w:t>
            </w:r>
          </w:p>
        </w:tc>
        <w:tc>
          <w:tcPr>
            <w:tcW w:w="3395" w:type="dxa"/>
            <w:tcBorders/>
          </w:tcPr>
          <w:p>
            <w:pPr>
              <w:pStyle w:val="TableContents"/>
              <w:bidi w:val="0"/>
              <w:spacing w:before="0" w:after="283"/>
              <w:jc w:val="left"/>
              <w:rPr/>
            </w:pPr>
            <w:r>
              <w:rPr/>
              <w:t> </w:t>
            </w:r>
          </w:p>
        </w:tc>
        <w:tc>
          <w:tcPr>
            <w:tcW w:w="60" w:type="dxa"/>
            <w:tcBorders/>
          </w:tcPr>
          <w:p>
            <w:pPr>
              <w:pStyle w:val="TableContents"/>
              <w:bidi w:val="0"/>
              <w:spacing w:before="0" w:after="283"/>
              <w:jc w:val="left"/>
              <w:rPr/>
            </w:pPr>
            <w:r>
              <w:rPr/>
              <w:t> </w:t>
            </w:r>
          </w:p>
        </w:tc>
      </w:tr>
      <w:tr>
        <w:trPr/>
        <w:tc>
          <w:tcPr>
            <w:tcW w:w="2375" w:type="dxa"/>
            <w:tcBorders/>
          </w:tcPr>
          <w:p>
            <w:pPr>
              <w:pStyle w:val="TableContents"/>
              <w:bidi w:val="0"/>
              <w:spacing w:before="0" w:after="283"/>
              <w:jc w:val="left"/>
              <w:rPr/>
            </w:pPr>
            <w:r>
              <w:rPr/>
              <w:t>Date: September 9, 2026</w:t>
            </w:r>
          </w:p>
        </w:tc>
        <w:tc>
          <w:tcPr>
            <w:tcW w:w="3395" w:type="dxa"/>
            <w:tcBorders>
              <w:bottom w:val="single" w:sz="2" w:space="0" w:color="000000"/>
            </w:tcBorders>
            <w:tcMar>
              <w:bottom w:w="28" w:type="dxa"/>
            </w:tcMar>
          </w:tcPr>
          <w:p>
            <w:pPr>
              <w:pStyle w:val="TableContents"/>
              <w:bidi w:val="0"/>
              <w:spacing w:before="0" w:after="283"/>
              <w:jc w:val="left"/>
              <w:rPr/>
            </w:pPr>
            <w:r>
              <w:rPr/>
              <w:t>/s/ Tracy G. Smith</w:t>
            </w:r>
          </w:p>
        </w:tc>
        <w:tc>
          <w:tcPr>
            <w:tcW w:w="60" w:type="dxa"/>
            <w:tcBorders/>
          </w:tcPr>
          <w:p>
            <w:pPr>
              <w:pStyle w:val="TableContents"/>
              <w:bidi w:val="0"/>
              <w:spacing w:before="0" w:after="283"/>
              <w:jc w:val="left"/>
              <w:rPr/>
            </w:pPr>
            <w:r>
              <w:rPr/>
              <w:t> </w:t>
            </w:r>
          </w:p>
        </w:tc>
      </w:tr>
      <w:tr>
        <w:trPr/>
        <w:tc>
          <w:tcPr>
            <w:tcW w:w="2375" w:type="dxa"/>
            <w:tcBorders/>
          </w:tcPr>
          <w:p>
            <w:pPr>
              <w:pStyle w:val="TableContents"/>
              <w:bidi w:val="0"/>
              <w:spacing w:before="0" w:after="283"/>
              <w:jc w:val="left"/>
              <w:rPr/>
            </w:pPr>
            <w:r>
              <w:rPr/>
              <w:t> </w:t>
            </w:r>
          </w:p>
        </w:tc>
        <w:tc>
          <w:tcPr>
            <w:tcW w:w="3395" w:type="dxa"/>
            <w:tcBorders/>
          </w:tcPr>
          <w:p>
            <w:pPr>
              <w:pStyle w:val="TableContents"/>
              <w:bidi w:val="0"/>
              <w:spacing w:before="0" w:after="283"/>
              <w:jc w:val="left"/>
              <w:rPr/>
            </w:pPr>
            <w:r>
              <w:rPr/>
              <w:t>Tracy G. Smith</w:t>
            </w:r>
          </w:p>
        </w:tc>
        <w:tc>
          <w:tcPr>
            <w:tcW w:w="60" w:type="dxa"/>
            <w:tcBorders/>
          </w:tcPr>
          <w:p>
            <w:pPr>
              <w:pStyle w:val="TableContents"/>
              <w:bidi w:val="0"/>
              <w:spacing w:before="0" w:after="283"/>
              <w:jc w:val="left"/>
              <w:rPr/>
            </w:pPr>
            <w:r>
              <w:rPr/>
              <w:t> </w:t>
            </w:r>
          </w:p>
        </w:tc>
      </w:tr>
      <w:tr>
        <w:trPr/>
        <w:tc>
          <w:tcPr>
            <w:tcW w:w="2375" w:type="dxa"/>
            <w:tcBorders/>
          </w:tcPr>
          <w:p>
            <w:pPr>
              <w:pStyle w:val="TableContents"/>
              <w:bidi w:val="0"/>
              <w:spacing w:before="0" w:after="283"/>
              <w:jc w:val="left"/>
              <w:rPr/>
            </w:pPr>
            <w:r>
              <w:rPr/>
              <w:t> </w:t>
            </w:r>
          </w:p>
        </w:tc>
        <w:tc>
          <w:tcPr>
            <w:tcW w:w="3395" w:type="dxa"/>
            <w:tcBorders/>
          </w:tcPr>
          <w:p>
            <w:pPr>
              <w:pStyle w:val="TableContents"/>
              <w:bidi w:val="0"/>
              <w:spacing w:before="0" w:after="283"/>
              <w:jc w:val="left"/>
              <w:rPr/>
            </w:pPr>
            <w:r>
              <w:rPr/>
              <w:t>Executive Vice President and Chief</w:t>
            </w:r>
          </w:p>
        </w:tc>
        <w:tc>
          <w:tcPr>
            <w:tcW w:w="60" w:type="dxa"/>
            <w:tcBorders/>
          </w:tcPr>
          <w:p>
            <w:pPr>
              <w:pStyle w:val="TableContents"/>
              <w:bidi w:val="0"/>
              <w:spacing w:before="0" w:after="283"/>
              <w:jc w:val="left"/>
              <w:rPr/>
            </w:pPr>
            <w:r>
              <w:rPr/>
              <w:t> </w:t>
            </w:r>
          </w:p>
        </w:tc>
      </w:tr>
      <w:tr>
        <w:trPr/>
        <w:tc>
          <w:tcPr>
            <w:tcW w:w="2375" w:type="dxa"/>
            <w:tcBorders/>
          </w:tcPr>
          <w:p>
            <w:pPr>
              <w:pStyle w:val="TableContents"/>
              <w:bidi w:val="0"/>
              <w:spacing w:before="0" w:after="283"/>
              <w:jc w:val="left"/>
              <w:rPr/>
            </w:pPr>
            <w:r>
              <w:rPr/>
              <w:t> </w:t>
            </w:r>
          </w:p>
        </w:tc>
        <w:tc>
          <w:tcPr>
            <w:tcW w:w="3395" w:type="dxa"/>
            <w:tcBorders/>
          </w:tcPr>
          <w:p>
            <w:pPr>
              <w:pStyle w:val="TableContents"/>
              <w:bidi w:val="0"/>
              <w:spacing w:before="0" w:after="283"/>
              <w:jc w:val="left"/>
              <w:rPr/>
            </w:pPr>
            <w:r>
              <w:rPr/>
              <w:t>Financial Officer</w:t>
            </w:r>
          </w:p>
        </w:tc>
        <w:tc>
          <w:tcPr>
            <w:tcW w:w="60" w:type="dxa"/>
            <w:tcBorders/>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38</w:t>
      </w:r>
    </w:p>
    <w:p>
      <w:pPr>
        <w:pStyle w:val="TextBody"/>
        <w:bidi w:val="0"/>
        <w:spacing w:before="0" w:after="0"/>
        <w:ind w:left="0" w:right="0" w:hanging="0"/>
        <w:jc w:val="right"/>
        <w:rPr>
          <w:rFonts w:ascii="Times New Roman;Times;serif" w:hAnsi="Times New Roman;Times;serif"/>
          <w:b/>
          <w:caps w:val="false"/>
          <w:smallCaps w:val="false"/>
          <w:sz w:val="20"/>
        </w:rPr>
      </w:pPr>
      <w:bookmarkStart w:id="15" w:name="ex_1011129.htm"/>
      <w:bookmarkStart w:id="16" w:name="ksex_1011129"/>
      <w:bookmarkEnd w:id="15"/>
      <w:bookmarkEnd w:id="16"/>
      <w:r>
        <w:rPr>
          <w:rFonts w:ascii="Times New Roman;Times;serif" w:hAnsi="Times New Roman;Times;serif"/>
          <w:b/>
          <w:caps w:val="false"/>
          <w:smallCaps w:val="false"/>
          <w:sz w:val="20"/>
        </w:rPr>
        <w:t>Exhibit 31.1</w:t>
      </w:r>
      <w:r>
        <w:br w:type="page"/>
      </w:r>
    </w:p>
    <w:p>
      <w:pPr>
        <w:pStyle w:val="TextBody"/>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Neil D. Wilkin, Jr., certify that:</w:t>
      </w:r>
    </w:p>
    <w:p>
      <w:pPr>
        <w:pStyle w:val="TextBody"/>
        <w:bidi w:val="0"/>
        <w:spacing w:before="0" w:after="0"/>
        <w:ind w:left="0" w:right="0" w:hanging="0"/>
        <w:jc w:val="both"/>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60"/>
        <w:gridCol w:w="170"/>
        <w:gridCol w:w="659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65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quarterly report on Form 10-Q of Optical Cable Corporation;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both"/>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both"/>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both"/>
              <w:rPr/>
            </w:pPr>
            <w:r>
              <w:rPr/>
              <w:t> </w:t>
            </w:r>
          </w:p>
        </w:tc>
        <w:tc>
          <w:tcPr>
            <w:tcW w:w="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both"/>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both"/>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04"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 and I have disclosed, based on our most recent evaluation of internal control over financial reporting, to the registrant’s independent registered public accounting firm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both"/>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247"/>
        <w:gridCol w:w="3699"/>
        <w:gridCol w:w="1259"/>
      </w:tblGrid>
      <w:tr>
        <w:trPr/>
        <w:tc>
          <w:tcPr>
            <w:tcW w:w="5247"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3699"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Neil D. Wilkin, Jr.</w:t>
            </w:r>
          </w:p>
        </w:tc>
        <w:tc>
          <w:tcPr>
            <w:tcW w:w="1259" w:type="dxa"/>
            <w:tcBorders/>
          </w:tcPr>
          <w:p>
            <w:pPr>
              <w:pStyle w:val="TableContents"/>
              <w:bidi w:val="0"/>
              <w:spacing w:before="0" w:after="0"/>
              <w:ind w:left="0" w:right="0" w:hanging="0"/>
              <w:jc w:val="left"/>
              <w:rPr/>
            </w:pPr>
            <w:r>
              <w:rPr/>
              <w:t> </w:t>
            </w:r>
          </w:p>
        </w:tc>
      </w:tr>
      <w:tr>
        <w:trPr/>
        <w:tc>
          <w:tcPr>
            <w:tcW w:w="5247" w:type="dxa"/>
            <w:tcBorders/>
          </w:tcPr>
          <w:p>
            <w:pPr>
              <w:pStyle w:val="TableContents"/>
              <w:bidi w:val="0"/>
              <w:spacing w:before="0" w:after="0"/>
              <w:ind w:left="0" w:right="0" w:hanging="0"/>
              <w:jc w:val="left"/>
              <w:rPr/>
            </w:pPr>
            <w:r>
              <w:rPr/>
              <w:t> </w:t>
            </w:r>
          </w:p>
        </w:tc>
        <w:tc>
          <w:tcPr>
            <w:tcW w:w="369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Neil D. Wilkin, Jr.</w:t>
            </w:r>
          </w:p>
        </w:tc>
        <w:tc>
          <w:tcPr>
            <w:tcW w:w="1259" w:type="dxa"/>
            <w:tcBorders/>
          </w:tcPr>
          <w:p>
            <w:pPr>
              <w:pStyle w:val="TableContents"/>
              <w:bidi w:val="0"/>
              <w:spacing w:before="0" w:after="0"/>
              <w:ind w:left="0" w:right="0" w:hanging="0"/>
              <w:jc w:val="left"/>
              <w:rPr/>
            </w:pPr>
            <w:r>
              <w:rPr/>
              <w:t> </w:t>
            </w:r>
          </w:p>
        </w:tc>
      </w:tr>
      <w:tr>
        <w:trPr/>
        <w:tc>
          <w:tcPr>
            <w:tcW w:w="5247" w:type="dxa"/>
            <w:tcBorders/>
          </w:tcPr>
          <w:p>
            <w:pPr>
              <w:pStyle w:val="TableContents"/>
              <w:bidi w:val="0"/>
              <w:spacing w:before="0" w:after="0"/>
              <w:ind w:left="0" w:right="0" w:hanging="0"/>
              <w:jc w:val="left"/>
              <w:rPr/>
            </w:pPr>
            <w:r>
              <w:rPr/>
              <w:t> </w:t>
            </w:r>
          </w:p>
        </w:tc>
        <w:tc>
          <w:tcPr>
            <w:tcW w:w="369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 President</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Chief Executive Officer</w:t>
            </w:r>
          </w:p>
        </w:tc>
        <w:tc>
          <w:tcPr>
            <w:tcW w:w="1259" w:type="dxa"/>
            <w:tcBorders/>
          </w:tcPr>
          <w:p>
            <w:pPr>
              <w:pStyle w:val="TableContents"/>
              <w:bidi w:val="0"/>
              <w:spacing w:before="0" w:after="0"/>
              <w:ind w:left="0" w:right="0" w:hanging="0"/>
              <w:jc w:val="left"/>
              <w:rPr/>
            </w:pPr>
            <w:r>
              <w:rPr/>
              <w:t> </w:t>
            </w:r>
          </w:p>
        </w:tc>
      </w:tr>
    </w:tbl>
    <w:p>
      <w:pPr>
        <w:pStyle w:val="TextBody"/>
        <w:bidi w:val="0"/>
        <w:spacing w:before="0" w:after="0"/>
        <w:ind w:left="6120" w:right="0" w:hanging="612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17" w:name="ex_1011130.htm"/>
      <w:bookmarkStart w:id="18" w:name="ksex_1011130"/>
      <w:bookmarkEnd w:id="17"/>
      <w:bookmarkEnd w:id="18"/>
      <w:r>
        <w:rPr>
          <w:caps w:val="false"/>
          <w:smallCaps w:val="false"/>
        </w:rPr>
        <w:t> </w:t>
      </w:r>
      <w:r>
        <w:br w:type="page"/>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CERTIFICATION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Tracy G. Smith, certify that:</w:t>
      </w:r>
    </w:p>
    <w:p>
      <w:pPr>
        <w:pStyle w:val="TextBody"/>
        <w:bidi w:val="0"/>
        <w:spacing w:before="0" w:after="0"/>
        <w:ind w:left="0" w:right="0" w:hanging="0"/>
        <w:jc w:val="left"/>
        <w:rPr>
          <w:caps w:val="false"/>
          <w:smallCaps w:val="false"/>
        </w:rPr>
      </w:pPr>
      <w:r>
        <w:rPr>
          <w:caps w:val="false"/>
          <w:smallCaps w:val="false"/>
        </w:rPr>
        <w:t> </w:t>
      </w:r>
    </w:p>
    <w:tbl>
      <w:tblPr>
        <w:tblW w:w="6820" w:type="dxa"/>
        <w:jc w:val="left"/>
        <w:tblInd w:w="0" w:type="dxa"/>
        <w:tblLayout w:type="fixed"/>
        <w:tblCellMar>
          <w:top w:w="0" w:type="dxa"/>
          <w:left w:w="0" w:type="dxa"/>
          <w:bottom w:w="0" w:type="dxa"/>
          <w:right w:w="0" w:type="dxa"/>
        </w:tblCellMar>
      </w:tblPr>
      <w:tblGrid>
        <w:gridCol w:w="60"/>
        <w:gridCol w:w="170"/>
        <w:gridCol w:w="65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659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 have reviewed this quarterly report on Form 10-Q of Optical Cable Corporation;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2"/>
        <w:gridCol w:w="10003"/>
      </w:tblGrid>
      <w:tr>
        <w:trPr/>
        <w:tc>
          <w:tcPr>
            <w:tcW w:w="60" w:type="dxa"/>
            <w:tcBorders/>
            <w:vAlign w:val="center"/>
          </w:tcPr>
          <w:p>
            <w:pPr>
              <w:pStyle w:val="TableContents"/>
              <w:bidi w:val="0"/>
              <w:spacing w:before="0" w:after="283"/>
              <w:jc w:val="left"/>
              <w:rPr/>
            </w:pPr>
            <w:r>
              <w:rPr/>
              <w:t> </w:t>
            </w:r>
          </w:p>
        </w:tc>
        <w:tc>
          <w:tcPr>
            <w:tcW w:w="142"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2.</w:t>
            </w:r>
          </w:p>
        </w:tc>
        <w:tc>
          <w:tcPr>
            <w:tcW w:w="1000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3.</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4.</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29"/>
        <w:gridCol w:w="10016"/>
      </w:tblGrid>
      <w:tr>
        <w:trPr/>
        <w:tc>
          <w:tcPr>
            <w:tcW w:w="60" w:type="dxa"/>
            <w:tcBorders/>
            <w:vAlign w:val="center"/>
          </w:tcPr>
          <w:p>
            <w:pPr>
              <w:pStyle w:val="TableContents"/>
              <w:bidi w:val="0"/>
              <w:spacing w:before="0" w:after="283"/>
              <w:jc w:val="left"/>
              <w:rPr/>
            </w:pPr>
            <w:r>
              <w:rPr/>
              <w:t> </w:t>
            </w:r>
          </w:p>
        </w:tc>
        <w:tc>
          <w:tcPr>
            <w:tcW w:w="129"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w:t>
            </w:r>
          </w:p>
        </w:tc>
        <w:tc>
          <w:tcPr>
            <w:tcW w:w="100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designed such internal controls over financial reporting, or caused such internal controls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12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5"/>
        <w:gridCol w:w="10010"/>
      </w:tblGrid>
      <w:tr>
        <w:trPr/>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10010"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12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4"/>
        <w:gridCol w:w="10001"/>
      </w:tblGrid>
      <w:tr>
        <w:trPr/>
        <w:tc>
          <w:tcPr>
            <w:tcW w:w="60" w:type="dxa"/>
            <w:tcBorders/>
            <w:vAlign w:val="center"/>
          </w:tcPr>
          <w:p>
            <w:pPr>
              <w:pStyle w:val="TableContents"/>
              <w:bidi w:val="0"/>
              <w:spacing w:before="0" w:after="283"/>
              <w:jc w:val="left"/>
              <w:rPr/>
            </w:pPr>
            <w:r>
              <w:rPr/>
              <w:t> </w:t>
            </w:r>
          </w:p>
        </w:tc>
        <w:tc>
          <w:tcPr>
            <w:tcW w:w="14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1000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122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1"/>
        <w:gridCol w:w="10004"/>
      </w:tblGrid>
      <w:tr>
        <w:trPr/>
        <w:tc>
          <w:tcPr>
            <w:tcW w:w="60" w:type="dxa"/>
            <w:tcBorders/>
            <w:vAlign w:val="center"/>
          </w:tcPr>
          <w:p>
            <w:pPr>
              <w:pStyle w:val="TableContents"/>
              <w:bidi w:val="0"/>
              <w:spacing w:before="0" w:after="283"/>
              <w:jc w:val="left"/>
              <w:rPr/>
            </w:pPr>
            <w:r>
              <w:rPr/>
              <w:t> </w:t>
            </w:r>
          </w:p>
        </w:tc>
        <w:tc>
          <w:tcPr>
            <w:tcW w:w="1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5.</w:t>
            </w:r>
          </w:p>
        </w:tc>
        <w:tc>
          <w:tcPr>
            <w:tcW w:w="1000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registrant’s other certifying officer and I have disclosed, based on our most recent evaluation of internal control over financial reporting, to the registrant’s independent registered public accounting firm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1000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67"/>
        <w:gridCol w:w="9978"/>
      </w:tblGrid>
      <w:tr>
        <w:trPr/>
        <w:tc>
          <w:tcPr>
            <w:tcW w:w="60" w:type="dxa"/>
            <w:tcBorders/>
            <w:vAlign w:val="center"/>
          </w:tcPr>
          <w:p>
            <w:pPr>
              <w:pStyle w:val="TableContents"/>
              <w:bidi w:val="0"/>
              <w:spacing w:before="0" w:after="283"/>
              <w:jc w:val="left"/>
              <w:rPr/>
            </w:pPr>
            <w:r>
              <w:rPr/>
              <w:t> </w:t>
            </w:r>
          </w:p>
        </w:tc>
        <w:tc>
          <w:tcPr>
            <w:tcW w:w="167"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751" w:type="dxa"/>
        <w:jc w:val="left"/>
        <w:tblInd w:w="0" w:type="dxa"/>
        <w:tblLayout w:type="fixed"/>
        <w:tblCellMar>
          <w:top w:w="0" w:type="dxa"/>
          <w:left w:w="0" w:type="dxa"/>
          <w:bottom w:w="0" w:type="dxa"/>
          <w:right w:w="0" w:type="dxa"/>
        </w:tblCellMar>
      </w:tblPr>
      <w:tblGrid>
        <w:gridCol w:w="3480"/>
        <w:gridCol w:w="2436"/>
        <w:gridCol w:w="835"/>
      </w:tblGrid>
      <w:tr>
        <w:trPr/>
        <w:tc>
          <w:tcPr>
            <w:tcW w:w="348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9, 2026 </w:t>
            </w:r>
          </w:p>
        </w:tc>
        <w:tc>
          <w:tcPr>
            <w:tcW w:w="2436"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Tracy G. Smith</w:t>
            </w:r>
          </w:p>
        </w:tc>
        <w:tc>
          <w:tcPr>
            <w:tcW w:w="835" w:type="dxa"/>
            <w:tcBorders/>
          </w:tcPr>
          <w:p>
            <w:pPr>
              <w:pStyle w:val="TableContents"/>
              <w:bidi w:val="0"/>
              <w:spacing w:before="0" w:after="0"/>
              <w:ind w:left="0" w:right="0" w:hanging="0"/>
              <w:jc w:val="left"/>
              <w:rPr/>
            </w:pPr>
            <w:r>
              <w:rPr/>
              <w:t> </w:t>
            </w:r>
          </w:p>
        </w:tc>
      </w:tr>
      <w:tr>
        <w:trPr/>
        <w:tc>
          <w:tcPr>
            <w:tcW w:w="3480" w:type="dxa"/>
            <w:tcBorders/>
          </w:tcPr>
          <w:p>
            <w:pPr>
              <w:pStyle w:val="TableContents"/>
              <w:bidi w:val="0"/>
              <w:spacing w:before="0" w:after="0"/>
              <w:ind w:left="0" w:right="0" w:hanging="0"/>
              <w:jc w:val="left"/>
              <w:rPr/>
            </w:pPr>
            <w:r>
              <w:rPr/>
              <w:t> </w:t>
            </w:r>
          </w:p>
        </w:tc>
        <w:tc>
          <w:tcPr>
            <w:tcW w:w="243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Tracy G. Smith</w:t>
            </w:r>
          </w:p>
        </w:tc>
        <w:tc>
          <w:tcPr>
            <w:tcW w:w="835" w:type="dxa"/>
            <w:tcBorders/>
          </w:tcPr>
          <w:p>
            <w:pPr>
              <w:pStyle w:val="TableContents"/>
              <w:bidi w:val="0"/>
              <w:spacing w:before="0" w:after="0"/>
              <w:ind w:left="0" w:right="0" w:hanging="0"/>
              <w:jc w:val="left"/>
              <w:rPr/>
            </w:pPr>
            <w:r>
              <w:rPr/>
              <w:t> </w:t>
            </w:r>
          </w:p>
        </w:tc>
      </w:tr>
      <w:tr>
        <w:trPr/>
        <w:tc>
          <w:tcPr>
            <w:tcW w:w="3480" w:type="dxa"/>
            <w:tcBorders/>
          </w:tcPr>
          <w:p>
            <w:pPr>
              <w:pStyle w:val="TableContents"/>
              <w:bidi w:val="0"/>
              <w:spacing w:before="0" w:after="0"/>
              <w:ind w:left="0" w:right="0" w:hanging="0"/>
              <w:jc w:val="left"/>
              <w:rPr/>
            </w:pPr>
            <w:r>
              <w:rPr/>
              <w:t> </w:t>
            </w:r>
          </w:p>
        </w:tc>
        <w:tc>
          <w:tcPr>
            <w:tcW w:w="2436"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w:t>
              <w:br/>
              <w:t>Chief Financial Officer</w:t>
            </w:r>
          </w:p>
        </w:tc>
        <w:tc>
          <w:tcPr>
            <w:tcW w:w="835" w:type="dxa"/>
            <w:tcBorders/>
          </w:tcPr>
          <w:p>
            <w:pPr>
              <w:pStyle w:val="TableContents"/>
              <w:bidi w:val="0"/>
              <w:spacing w:before="0" w:after="0"/>
              <w:ind w:left="0" w:right="0" w:hanging="0"/>
              <w:jc w:val="left"/>
              <w:rPr/>
            </w:pPr>
            <w:r>
              <w:rPr/>
              <w:t> </w:t>
            </w:r>
          </w:p>
        </w:tc>
      </w:tr>
    </w:tbl>
    <w:p>
      <w:pPr>
        <w:pStyle w:val="TextBody"/>
        <w:bidi w:val="0"/>
        <w:spacing w:before="0" w:after="0"/>
        <w:ind w:left="6120" w:right="0" w:hanging="612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19" w:name="ex_1011131.htm"/>
      <w:bookmarkStart w:id="20" w:name="ksex_1011131"/>
      <w:bookmarkEnd w:id="19"/>
      <w:bookmarkEnd w:id="20"/>
      <w:r>
        <w:rPr>
          <w:caps w:val="false"/>
          <w:smallCaps w:val="false"/>
        </w:rPr>
        <w:t> </w:t>
      </w:r>
      <w:r>
        <w:br w:type="page"/>
      </w:r>
    </w:p>
    <w:p>
      <w:pPr>
        <w:pStyle w:val="TextBody"/>
        <w:bidi w:val="0"/>
        <w:spacing w:before="0" w:after="0"/>
        <w:ind w:left="6120" w:right="0" w:hanging="6120"/>
        <w:jc w:val="right"/>
        <w:rPr>
          <w:rFonts w:ascii="Times New Roman" w:hAnsi="Times New Roman"/>
          <w:b/>
          <w:caps w:val="false"/>
          <w:smallCaps w:val="false"/>
          <w:sz w:val="20"/>
        </w:rPr>
      </w:pPr>
      <w:r>
        <w:rPr>
          <w:rFonts w:ascii="Times New Roman" w:hAnsi="Times New Roman"/>
          <w:b/>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Optical Cable Corporation (the “Company”) on Form 10-Q for the quarter ended July 31, 2026 as filed with the Securities and Exchange Commission on the date hereof (the “Report”), the undersigned hereby certifies, pursuant to 18 U.S.C. Section 1350, as adopted pursuant to Section 906 of the Sarbanes-Oxley Act of 2002 that: (1) the Report fully complies with the requirements of Section 13(a) or 15(d) of the Securities and Exchange Act of 1934; and (2) the information contained in the Report fairly presents, in all material respects, the financial condition and results of operations of the Company as of July 31, 2026, and for the period then ended.</w:t>
      </w:r>
    </w:p>
    <w:tbl>
      <w:tblPr>
        <w:tblW w:w="8181" w:type="dxa"/>
        <w:jc w:val="left"/>
        <w:tblInd w:w="0" w:type="dxa"/>
        <w:tblLayout w:type="fixed"/>
        <w:tblCellMar>
          <w:top w:w="0" w:type="dxa"/>
          <w:left w:w="0" w:type="dxa"/>
          <w:bottom w:w="0" w:type="dxa"/>
          <w:right w:w="0" w:type="dxa"/>
        </w:tblCellMar>
      </w:tblPr>
      <w:tblGrid>
        <w:gridCol w:w="4091"/>
        <w:gridCol w:w="3109"/>
        <w:gridCol w:w="981"/>
      </w:tblGrid>
      <w:tr>
        <w:trPr/>
        <w:tc>
          <w:tcPr>
            <w:tcW w:w="4091" w:type="dxa"/>
            <w:tcBorders/>
          </w:tcPr>
          <w:p>
            <w:pPr>
              <w:pStyle w:val="TableContents"/>
              <w:bidi w:val="0"/>
              <w:spacing w:before="0" w:after="0"/>
              <w:ind w:left="0" w:right="0" w:hanging="0"/>
              <w:jc w:val="left"/>
              <w:rPr/>
            </w:pPr>
            <w:r>
              <w:rPr/>
              <w:t> </w:t>
            </w:r>
          </w:p>
        </w:tc>
        <w:tc>
          <w:tcPr>
            <w:tcW w:w="3109" w:type="dxa"/>
            <w:tcBorders/>
          </w:tcPr>
          <w:p>
            <w:pPr>
              <w:pStyle w:val="TableContents"/>
              <w:bidi w:val="0"/>
              <w:spacing w:before="0" w:after="0"/>
              <w:ind w:left="0" w:right="0" w:hanging="0"/>
              <w:jc w:val="left"/>
              <w:rPr/>
            </w:pPr>
            <w:r>
              <w:rPr/>
              <w:t> </w:t>
            </w:r>
          </w:p>
        </w:tc>
        <w:tc>
          <w:tcPr>
            <w:tcW w:w="981" w:type="dxa"/>
            <w:tcBorders/>
          </w:tcPr>
          <w:p>
            <w:pPr>
              <w:pStyle w:val="TableContents"/>
              <w:bidi w:val="0"/>
              <w:spacing w:before="0" w:after="0"/>
              <w:ind w:left="0" w:right="0" w:hanging="0"/>
              <w:jc w:val="left"/>
              <w:rPr/>
            </w:pPr>
            <w:r>
              <w:rPr/>
              <w:t> </w:t>
            </w:r>
          </w:p>
        </w:tc>
      </w:tr>
      <w:tr>
        <w:trPr/>
        <w:tc>
          <w:tcPr>
            <w:tcW w:w="4091" w:type="dxa"/>
            <w:tcBorders/>
          </w:tcPr>
          <w:p>
            <w:pPr>
              <w:pStyle w:val="TableContents"/>
              <w:bidi w:val="0"/>
              <w:spacing w:before="0" w:after="0"/>
              <w:ind w:left="0" w:right="0" w:hanging="0"/>
              <w:jc w:val="left"/>
              <w:rPr/>
            </w:pPr>
            <w:r>
              <w:rPr/>
              <w:t> </w:t>
            </w:r>
          </w:p>
        </w:tc>
        <w:tc>
          <w:tcPr>
            <w:tcW w:w="3109" w:type="dxa"/>
            <w:tcBorders/>
          </w:tcPr>
          <w:p>
            <w:pPr>
              <w:pStyle w:val="TableContents"/>
              <w:bidi w:val="0"/>
              <w:spacing w:before="0" w:after="0"/>
              <w:ind w:left="0" w:right="0" w:hanging="0"/>
              <w:jc w:val="left"/>
              <w:rPr/>
            </w:pPr>
            <w:r>
              <w:rPr/>
              <w:t> </w:t>
            </w:r>
          </w:p>
        </w:tc>
        <w:tc>
          <w:tcPr>
            <w:tcW w:w="981" w:type="dxa"/>
            <w:tcBorders/>
          </w:tcPr>
          <w:p>
            <w:pPr>
              <w:pStyle w:val="TableContents"/>
              <w:bidi w:val="0"/>
              <w:spacing w:before="0" w:after="0"/>
              <w:ind w:left="0" w:right="0" w:hanging="0"/>
              <w:jc w:val="left"/>
              <w:rPr/>
            </w:pPr>
            <w:r>
              <w:rPr/>
              <w:t> </w:t>
            </w:r>
          </w:p>
        </w:tc>
      </w:tr>
      <w:tr>
        <w:trPr/>
        <w:tc>
          <w:tcPr>
            <w:tcW w:w="4091" w:type="dxa"/>
            <w:tcBorders/>
          </w:tcPr>
          <w:p>
            <w:pPr>
              <w:pStyle w:val="TableContents"/>
              <w:bidi w:val="0"/>
              <w:spacing w:before="0" w:after="0"/>
              <w:ind w:left="0" w:right="0" w:hanging="0"/>
              <w:jc w:val="left"/>
              <w:rPr/>
            </w:pPr>
            <w:r>
              <w:rPr/>
              <w:t> </w:t>
            </w:r>
          </w:p>
        </w:tc>
        <w:tc>
          <w:tcPr>
            <w:tcW w:w="3109" w:type="dxa"/>
            <w:tcBorders/>
            <w:vAlign w:val="bottom"/>
          </w:tcPr>
          <w:p>
            <w:pPr>
              <w:pStyle w:val="TableContents"/>
              <w:bidi w:val="0"/>
              <w:spacing w:before="0" w:after="0"/>
              <w:ind w:left="0" w:right="0" w:hanging="0"/>
              <w:jc w:val="left"/>
              <w:rPr/>
            </w:pPr>
            <w:r>
              <w:rPr/>
              <w:t> </w:t>
            </w:r>
          </w:p>
        </w:tc>
        <w:tc>
          <w:tcPr>
            <w:tcW w:w="981" w:type="dxa"/>
            <w:tcBorders/>
          </w:tcPr>
          <w:p>
            <w:pPr>
              <w:pStyle w:val="TableContents"/>
              <w:bidi w:val="0"/>
              <w:spacing w:before="0" w:after="0"/>
              <w:ind w:left="0" w:right="0" w:hanging="0"/>
              <w:jc w:val="left"/>
              <w:rPr/>
            </w:pPr>
            <w:r>
              <w:rPr/>
              <w:t> </w:t>
            </w:r>
          </w:p>
        </w:tc>
      </w:tr>
      <w:tr>
        <w:trPr/>
        <w:tc>
          <w:tcPr>
            <w:tcW w:w="4091"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3109"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Neil D. Wilkin, Jr.</w:t>
            </w:r>
          </w:p>
        </w:tc>
        <w:tc>
          <w:tcPr>
            <w:tcW w:w="981" w:type="dxa"/>
            <w:tcBorders/>
          </w:tcPr>
          <w:p>
            <w:pPr>
              <w:pStyle w:val="TableContents"/>
              <w:bidi w:val="0"/>
              <w:spacing w:before="0" w:after="0"/>
              <w:ind w:left="0" w:right="0" w:hanging="0"/>
              <w:jc w:val="left"/>
              <w:rPr/>
            </w:pPr>
            <w:r>
              <w:rPr/>
              <w:t> </w:t>
            </w:r>
          </w:p>
        </w:tc>
      </w:tr>
      <w:tr>
        <w:trPr/>
        <w:tc>
          <w:tcPr>
            <w:tcW w:w="4091" w:type="dxa"/>
            <w:tcBorders/>
          </w:tcPr>
          <w:p>
            <w:pPr>
              <w:pStyle w:val="TableContents"/>
              <w:bidi w:val="0"/>
              <w:spacing w:before="0" w:after="0"/>
              <w:ind w:left="0" w:right="0" w:hanging="0"/>
              <w:jc w:val="left"/>
              <w:rPr/>
            </w:pPr>
            <w:r>
              <w:rPr/>
              <w:t> </w:t>
            </w:r>
          </w:p>
        </w:tc>
        <w:tc>
          <w:tcPr>
            <w:tcW w:w="310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Neil D. Wilkin, Jr.</w:t>
            </w:r>
          </w:p>
        </w:tc>
        <w:tc>
          <w:tcPr>
            <w:tcW w:w="981" w:type="dxa"/>
            <w:tcBorders/>
          </w:tcPr>
          <w:p>
            <w:pPr>
              <w:pStyle w:val="TableContents"/>
              <w:bidi w:val="0"/>
              <w:spacing w:before="0" w:after="0"/>
              <w:ind w:left="0" w:right="0" w:hanging="0"/>
              <w:jc w:val="left"/>
              <w:rPr/>
            </w:pPr>
            <w:r>
              <w:rPr/>
              <w:t> </w:t>
            </w:r>
          </w:p>
        </w:tc>
      </w:tr>
      <w:tr>
        <w:trPr/>
        <w:tc>
          <w:tcPr>
            <w:tcW w:w="4091" w:type="dxa"/>
            <w:tcBorders/>
          </w:tcPr>
          <w:p>
            <w:pPr>
              <w:pStyle w:val="TableContents"/>
              <w:bidi w:val="0"/>
              <w:spacing w:before="0" w:after="0"/>
              <w:ind w:left="0" w:right="0" w:hanging="0"/>
              <w:jc w:val="left"/>
              <w:rPr/>
            </w:pPr>
            <w:r>
              <w:rPr/>
              <w:t> </w:t>
            </w:r>
          </w:p>
        </w:tc>
        <w:tc>
          <w:tcPr>
            <w:tcW w:w="3109"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President and Chief Executive Officer</w:t>
            </w:r>
          </w:p>
        </w:tc>
        <w:tc>
          <w:tcPr>
            <w:tcW w:w="981" w:type="dxa"/>
            <w:tcBorders/>
          </w:tcPr>
          <w:p>
            <w:pPr>
              <w:pStyle w:val="TableContents"/>
              <w:bidi w:val="0"/>
              <w:spacing w:before="0" w:after="0"/>
              <w:ind w:left="0" w:right="0" w:hanging="0"/>
              <w:jc w:val="left"/>
              <w:rPr/>
            </w:pPr>
            <w:r>
              <w:rPr/>
              <w:t> </w:t>
            </w:r>
          </w:p>
        </w:tc>
      </w:tr>
    </w:tbl>
    <w:p>
      <w:pPr>
        <w:pStyle w:val="TextBody"/>
        <w:bidi w:val="0"/>
        <w:spacing w:before="0" w:after="0"/>
        <w:ind w:left="6120" w:right="0" w:hanging="612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caps w:val="false"/>
          <w:smallCaps w:val="false"/>
        </w:rPr>
      </w:pPr>
      <w:bookmarkStart w:id="21" w:name="ex_1011132.htm"/>
      <w:bookmarkStart w:id="22" w:name="ksex_1011132"/>
      <w:bookmarkEnd w:id="21"/>
      <w:bookmarkEnd w:id="22"/>
      <w:r>
        <w:rPr>
          <w:caps w:val="false"/>
          <w:smallCaps w:val="false"/>
        </w:rPr>
        <w:t> </w:t>
      </w:r>
      <w:r>
        <w:br w:type="page"/>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right"/>
        <w:rPr>
          <w:rFonts w:ascii="Times New Roman" w:hAnsi="Times New Roman"/>
          <w:b/>
          <w:caps w:val="false"/>
          <w:smallCaps w:val="false"/>
          <w:sz w:val="20"/>
        </w:rPr>
      </w:pPr>
      <w:r>
        <w:rPr>
          <w:rFonts w:ascii="Times New Roman" w:hAnsi="Times New Roman"/>
          <w:b/>
          <w:caps w:val="false"/>
          <w:smallCaps w:val="false"/>
          <w:sz w:val="20"/>
        </w:rPr>
        <w:t>Exhibit 32.2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CERTIFICATION PURSUANT TO 18 U.S.C. SECTION 1350 AS ADOPTED PURSUANT TO 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of Optical Cable Corporation (the “Company”) on Form 10-Q for the quarter ended July 31, 2026 as filed with the Securities and Exchange Commission on the date hereof (the “Report”), the undersigned hereby certifies, pursuant to 18 U.S.C. Section 1350, as adopted pursuant to Section 906 of the Sarbanes-Oxley Act of 2002 that: (1) the Report fully complies with the requirements of Section 13(a) or 15(d) of the Securities and Exchange Act of 1934; and (2) the information contained in the Report fairly presents, in all material respects, the financial condition and results of operations of the Company as of July 31, 2026, and for the period then ended.</w:t>
      </w:r>
    </w:p>
    <w:tbl>
      <w:tblPr>
        <w:tblW w:w="6400" w:type="dxa"/>
        <w:jc w:val="left"/>
        <w:tblInd w:w="0" w:type="dxa"/>
        <w:tblLayout w:type="fixed"/>
        <w:tblCellMar>
          <w:top w:w="0" w:type="dxa"/>
          <w:left w:w="0" w:type="dxa"/>
          <w:bottom w:w="0" w:type="dxa"/>
          <w:right w:w="0" w:type="dxa"/>
        </w:tblCellMar>
      </w:tblPr>
      <w:tblGrid>
        <w:gridCol w:w="3200"/>
        <w:gridCol w:w="2432"/>
        <w:gridCol w:w="768"/>
      </w:tblGrid>
      <w:tr>
        <w:trPr/>
        <w:tc>
          <w:tcPr>
            <w:tcW w:w="3200" w:type="dxa"/>
            <w:tcBorders/>
          </w:tcPr>
          <w:p>
            <w:pPr>
              <w:pStyle w:val="TableContents"/>
              <w:bidi w:val="0"/>
              <w:spacing w:before="0" w:after="0"/>
              <w:ind w:left="0" w:right="0" w:hanging="0"/>
              <w:jc w:val="left"/>
              <w:rPr/>
            </w:pPr>
            <w:r>
              <w:rPr/>
              <w:t> </w:t>
            </w:r>
          </w:p>
        </w:tc>
        <w:tc>
          <w:tcPr>
            <w:tcW w:w="2432" w:type="dxa"/>
            <w:tcBorders/>
          </w:tcPr>
          <w:p>
            <w:pPr>
              <w:pStyle w:val="TableContents"/>
              <w:bidi w:val="0"/>
              <w:spacing w:before="0" w:after="0"/>
              <w:ind w:left="0" w:right="0" w:hanging="0"/>
              <w:jc w:val="left"/>
              <w:rPr/>
            </w:pPr>
            <w:r>
              <w:rPr/>
              <w:t> </w:t>
            </w:r>
          </w:p>
        </w:tc>
        <w:tc>
          <w:tcPr>
            <w:tcW w:w="768" w:type="dxa"/>
            <w:tcBorders/>
          </w:tcPr>
          <w:p>
            <w:pPr>
              <w:pStyle w:val="TableContents"/>
              <w:bidi w:val="0"/>
              <w:spacing w:before="0" w:after="0"/>
              <w:ind w:left="0" w:right="0" w:hanging="0"/>
              <w:jc w:val="left"/>
              <w:rPr/>
            </w:pPr>
            <w:r>
              <w:rPr/>
              <w:t> </w:t>
            </w:r>
          </w:p>
        </w:tc>
      </w:tr>
      <w:tr>
        <w:trPr/>
        <w:tc>
          <w:tcPr>
            <w:tcW w:w="3200" w:type="dxa"/>
            <w:tcBorders/>
          </w:tcPr>
          <w:p>
            <w:pPr>
              <w:pStyle w:val="TableContents"/>
              <w:bidi w:val="0"/>
              <w:spacing w:before="0" w:after="0"/>
              <w:ind w:left="0" w:right="0" w:hanging="0"/>
              <w:jc w:val="left"/>
              <w:rPr/>
            </w:pPr>
            <w:r>
              <w:rPr/>
              <w:t> </w:t>
            </w:r>
          </w:p>
        </w:tc>
        <w:tc>
          <w:tcPr>
            <w:tcW w:w="2432" w:type="dxa"/>
            <w:tcBorders/>
          </w:tcPr>
          <w:p>
            <w:pPr>
              <w:pStyle w:val="TableContents"/>
              <w:bidi w:val="0"/>
              <w:spacing w:before="0" w:after="0"/>
              <w:ind w:left="0" w:right="0" w:hanging="0"/>
              <w:jc w:val="left"/>
              <w:rPr/>
            </w:pPr>
            <w:r>
              <w:rPr/>
              <w:t> </w:t>
            </w:r>
          </w:p>
        </w:tc>
        <w:tc>
          <w:tcPr>
            <w:tcW w:w="768" w:type="dxa"/>
            <w:tcBorders/>
          </w:tcPr>
          <w:p>
            <w:pPr>
              <w:pStyle w:val="TableContents"/>
              <w:bidi w:val="0"/>
              <w:spacing w:before="0" w:after="0"/>
              <w:ind w:left="0" w:right="0" w:hanging="0"/>
              <w:jc w:val="left"/>
              <w:rPr/>
            </w:pPr>
            <w:r>
              <w:rPr/>
              <w:t> </w:t>
            </w:r>
          </w:p>
        </w:tc>
      </w:tr>
      <w:tr>
        <w:trPr/>
        <w:tc>
          <w:tcPr>
            <w:tcW w:w="3200" w:type="dxa"/>
            <w:tcBorders/>
          </w:tcPr>
          <w:p>
            <w:pPr>
              <w:pStyle w:val="TableContents"/>
              <w:bidi w:val="0"/>
              <w:spacing w:before="0" w:after="0"/>
              <w:ind w:left="0" w:right="0" w:hanging="0"/>
              <w:jc w:val="left"/>
              <w:rPr/>
            </w:pPr>
            <w:r>
              <w:rPr/>
              <w:t> </w:t>
            </w:r>
          </w:p>
        </w:tc>
        <w:tc>
          <w:tcPr>
            <w:tcW w:w="2432" w:type="dxa"/>
            <w:tcBorders/>
            <w:vAlign w:val="bottom"/>
          </w:tcPr>
          <w:p>
            <w:pPr>
              <w:pStyle w:val="TableContents"/>
              <w:bidi w:val="0"/>
              <w:spacing w:before="0" w:after="0"/>
              <w:ind w:left="0" w:right="0" w:hanging="0"/>
              <w:jc w:val="left"/>
              <w:rPr/>
            </w:pPr>
            <w:r>
              <w:rPr/>
              <w:t> </w:t>
            </w:r>
          </w:p>
        </w:tc>
        <w:tc>
          <w:tcPr>
            <w:tcW w:w="768" w:type="dxa"/>
            <w:tcBorders/>
          </w:tcPr>
          <w:p>
            <w:pPr>
              <w:pStyle w:val="TableContents"/>
              <w:bidi w:val="0"/>
              <w:spacing w:before="0" w:after="0"/>
              <w:ind w:left="0" w:right="0" w:hanging="0"/>
              <w:jc w:val="left"/>
              <w:rPr/>
            </w:pPr>
            <w:r>
              <w:rPr/>
              <w:t> </w:t>
            </w:r>
          </w:p>
        </w:tc>
      </w:tr>
      <w:tr>
        <w:trPr/>
        <w:tc>
          <w:tcPr>
            <w:tcW w:w="3200"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September 9, 2026</w:t>
            </w:r>
          </w:p>
        </w:tc>
        <w:tc>
          <w:tcPr>
            <w:tcW w:w="2432" w:type="dxa"/>
            <w:tcBorders>
              <w:bottom w:val="single" w:sz="2" w:space="0" w:color="000000"/>
            </w:tcBorders>
            <w:tcMar>
              <w:bottom w:w="28" w:type="dxa"/>
            </w:tcMa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Tracy G. Smith</w:t>
            </w:r>
          </w:p>
        </w:tc>
        <w:tc>
          <w:tcPr>
            <w:tcW w:w="768" w:type="dxa"/>
            <w:tcBorders/>
          </w:tcPr>
          <w:p>
            <w:pPr>
              <w:pStyle w:val="TableContents"/>
              <w:bidi w:val="0"/>
              <w:spacing w:before="0" w:after="0"/>
              <w:ind w:left="0" w:right="0" w:hanging="0"/>
              <w:jc w:val="left"/>
              <w:rPr/>
            </w:pPr>
            <w:r>
              <w:rPr/>
              <w:t> </w:t>
            </w:r>
          </w:p>
        </w:tc>
      </w:tr>
      <w:tr>
        <w:trPr/>
        <w:tc>
          <w:tcPr>
            <w:tcW w:w="3200" w:type="dxa"/>
            <w:tcBorders/>
          </w:tcPr>
          <w:p>
            <w:pPr>
              <w:pStyle w:val="TableContents"/>
              <w:bidi w:val="0"/>
              <w:spacing w:before="0" w:after="0"/>
              <w:ind w:left="0" w:right="0" w:hanging="0"/>
              <w:jc w:val="left"/>
              <w:rPr/>
            </w:pPr>
            <w:r>
              <w:rPr/>
              <w:t> </w:t>
            </w:r>
          </w:p>
        </w:tc>
        <w:tc>
          <w:tcPr>
            <w:tcW w:w="243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Tracy G. Smith </w:t>
            </w:r>
          </w:p>
        </w:tc>
        <w:tc>
          <w:tcPr>
            <w:tcW w:w="768" w:type="dxa"/>
            <w:tcBorders/>
          </w:tcPr>
          <w:p>
            <w:pPr>
              <w:pStyle w:val="TableContents"/>
              <w:bidi w:val="0"/>
              <w:spacing w:before="0" w:after="0"/>
              <w:ind w:left="0" w:right="0" w:hanging="0"/>
              <w:jc w:val="left"/>
              <w:rPr/>
            </w:pPr>
            <w:r>
              <w:rPr/>
              <w:t> </w:t>
            </w:r>
          </w:p>
        </w:tc>
      </w:tr>
      <w:tr>
        <w:trPr/>
        <w:tc>
          <w:tcPr>
            <w:tcW w:w="3200" w:type="dxa"/>
            <w:tcBorders/>
          </w:tcPr>
          <w:p>
            <w:pPr>
              <w:pStyle w:val="TableContents"/>
              <w:bidi w:val="0"/>
              <w:spacing w:before="0" w:after="0"/>
              <w:ind w:left="0" w:right="0" w:hanging="0"/>
              <w:jc w:val="left"/>
              <w:rPr/>
            </w:pPr>
            <w:r>
              <w:rPr/>
              <w:t> </w:t>
            </w:r>
          </w:p>
        </w:tc>
        <w:tc>
          <w:tcPr>
            <w:tcW w:w="2432" w:type="dxa"/>
            <w:tcBorders/>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 and</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768" w:type="dxa"/>
            <w:tcBorders/>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000230/000091664101501441/dex1.txt" TargetMode="External"/><Relationship Id="rId3" Type="http://schemas.openxmlformats.org/officeDocument/2006/relationships/hyperlink" Target="http://www.sec.gov/Archives/edgar/data/1000230/000112726402000123/occ_def.txt" TargetMode="External"/><Relationship Id="rId4" Type="http://schemas.openxmlformats.org/officeDocument/2006/relationships/hyperlink" Target="http://www.sec.gov/Archives/edgar/data/1000230/000143774923006415/ex_483937.htm" TargetMode="External"/><Relationship Id="rId5" Type="http://schemas.openxmlformats.org/officeDocument/2006/relationships/hyperlink" Target="http://www.sec.gov/Archives/edgar/data/1000230/000119312504154716/dex41.htm" TargetMode="External"/><Relationship Id="rId6" Type="http://schemas.openxmlformats.org/officeDocument/2006/relationships/hyperlink" Target="http://www.sec.gov/Archives/edgar/data/1000230/000119312512386554/d406982dex42.htm" TargetMode="External"/><Relationship Id="rId7" Type="http://schemas.openxmlformats.org/officeDocument/2006/relationships/hyperlink" Target="http://www.sec.gov/Archives/edgar/data/1000230/000119312509014313/dex417.htm" TargetMode="External"/><Relationship Id="rId8" Type="http://schemas.openxmlformats.org/officeDocument/2006/relationships/hyperlink" Target="http://www.sec.gov/Archives/edgar/data/1000230/000119312509014313/dex418.htm" TargetMode="External"/><Relationship Id="rId9" Type="http://schemas.openxmlformats.org/officeDocument/2006/relationships/hyperlink" Target="http://www.sec.gov/Archives/edgar/data/1000230/000143774916030596/ex4-4.htm" TargetMode="External"/><Relationship Id="rId10" Type="http://schemas.openxmlformats.org/officeDocument/2006/relationships/hyperlink" Target="http://www.sec.gov/Archives/edgar/data/1000230/000143774916030596/ex4-5.htm" TargetMode="External"/><Relationship Id="rId11" Type="http://schemas.openxmlformats.org/officeDocument/2006/relationships/hyperlink" Target="http://www.sec.gov/Archives/edgar/data/1000230/000143774916030596/ex4-6.htm" TargetMode="External"/><Relationship Id="rId12" Type="http://schemas.openxmlformats.org/officeDocument/2006/relationships/hyperlink" Target="http://www.sec.gov/Archives/edgar/data/1000230/000143774918011550/ex_115700.htm" TargetMode="External"/><Relationship Id="rId13" Type="http://schemas.openxmlformats.org/officeDocument/2006/relationships/hyperlink" Target="http://www.sec.gov/Archives/edgar/data/1000230/000143774918011550/ex_115700.htm" TargetMode="External"/><Relationship Id="rId14" Type="http://schemas.openxmlformats.org/officeDocument/2006/relationships/hyperlink" Target="http://www.sec.gov/Archives/edgar/data/1000230/000143774918011550/ex_115701.htm" TargetMode="External"/><Relationship Id="rId15" Type="http://schemas.openxmlformats.org/officeDocument/2006/relationships/hyperlink" Target="http://www.sec.gov/Archives/edgar/data/1000230/000143774918011550/ex_115701.htm" TargetMode="External"/><Relationship Id="rId16" Type="http://schemas.openxmlformats.org/officeDocument/2006/relationships/hyperlink" Target="http://www.sec.gov/Archives/edgar/data/1000230/000143774920016038/ex_195947.htm" TargetMode="External"/><Relationship Id="rId17" Type="http://schemas.openxmlformats.org/officeDocument/2006/relationships/hyperlink" Target="http://www.sec.gov/Archives/edgar/data/1000230/000143774920016038/ex_195948.htm" TargetMode="External"/><Relationship Id="rId18" Type="http://schemas.openxmlformats.org/officeDocument/2006/relationships/hyperlink" Target="http://www.sec.gov/Archives/edgar/data/1000230/000143774920016038/ex_195949.htm" TargetMode="External"/><Relationship Id="rId19" Type="http://schemas.openxmlformats.org/officeDocument/2006/relationships/hyperlink" Target="http://www.sec.gov/Archives/edgar/data/1000230/000143774921025513/ex_303347.htm" TargetMode="External"/><Relationship Id="rId20" Type="http://schemas.openxmlformats.org/officeDocument/2006/relationships/hyperlink" Target="http://www.sec.gov/Archives/edgar/data/1000230/000143774922016819/ex_393082.htm" TargetMode="External"/><Relationship Id="rId21" Type="http://schemas.openxmlformats.org/officeDocument/2006/relationships/hyperlink" Target="http://www.sec.gov/Archives/edgar/data/1000230/000143774923030223/ex_590927.htm" TargetMode="External"/><Relationship Id="rId22" Type="http://schemas.openxmlformats.org/officeDocument/2006/relationships/hyperlink" Target="http://www.sec.gov/Archives/edgar/data/1000230/000143774926015207/ex_956579.htm" TargetMode="External"/><Relationship Id="rId23" Type="http://schemas.openxmlformats.org/officeDocument/2006/relationships/hyperlink" Target="http://www.sec.gov/Archives/edgar/data/1000230/000143774926015207/ex_956580.htm" TargetMode="External"/><Relationship Id="rId24" Type="http://schemas.openxmlformats.org/officeDocument/2006/relationships/hyperlink" Target="http://www.sec.gov/Archives/edgar/data/1000230/000143774926015207/ex_956581.htm" TargetMode="External"/><Relationship Id="rId25" Type="http://schemas.openxmlformats.org/officeDocument/2006/relationships/hyperlink" Target="http://www.sec.gov/Archives/edgar/data/1000230/000143774926015207/ex_956582.htm" TargetMode="External"/><Relationship Id="rId26" Type="http://schemas.openxmlformats.org/officeDocument/2006/relationships/hyperlink" Target="http://www.sec.gov/Archives/edgar/data/1000230/000143774917004362/occ20170223_def14a.htm" TargetMode="External"/><Relationship Id="rId27" Type="http://schemas.openxmlformats.org/officeDocument/2006/relationships/hyperlink" Target="http://www.sec.gov/Archives/edgar/data/1000230/000143774922022175/ex_419998.htm" TargetMode="External"/><Relationship Id="rId28" Type="http://schemas.openxmlformats.org/officeDocument/2006/relationships/hyperlink" Target="http://www.sec.gov/Archives/edgar/data/1000230/000143774925005577/occ20250219_def14a.htm" TargetMode="External"/><Relationship Id="rId29" Type="http://schemas.openxmlformats.org/officeDocument/2006/relationships/hyperlink" Target="http://www.sec.gov/Archives/edgar/data/1000230/000119312511099762/dex102.htm" TargetMode="External"/><Relationship Id="rId30" Type="http://schemas.openxmlformats.org/officeDocument/2006/relationships/hyperlink" Target="http://www.sec.gov/Archives/edgar/data/1000230/000119312513109588/d499109dex1016.htm" TargetMode="External"/><Relationship Id="rId31" Type="http://schemas.openxmlformats.org/officeDocument/2006/relationships/hyperlink" Target="http://www.sec.gov/Archives/edgar/data/1000230/000119312513109588/d499109dex1016.htm" TargetMode="External"/><Relationship Id="rId32" Type="http://schemas.openxmlformats.org/officeDocument/2006/relationships/hyperlink" Target="http://www.sec.gov/Archives/edgar/data/1000230/000100023014000010/wilkinocc2ndamendtoamendan.htm" TargetMode="External"/><Relationship Id="rId33" Type="http://schemas.openxmlformats.org/officeDocument/2006/relationships/hyperlink" Target="http://www.sec.gov/Archives/edgar/data/1000230/000100023014000010/wilkinocc2ndamendtoamendan.htm" TargetMode="External"/><Relationship Id="rId34" Type="http://schemas.openxmlformats.org/officeDocument/2006/relationships/hyperlink" Target="http://www.sec.gov/Archives/edgar/data/1000230/000119312511099762/dex101.htm" TargetMode="External"/><Relationship Id="rId35" Type="http://schemas.openxmlformats.org/officeDocument/2006/relationships/hyperlink" Target="http://www.sec.gov/Archives/edgar/data/1000230/000119312513109588/d499109dex1018.htm" TargetMode="External"/><Relationship Id="rId36" Type="http://schemas.openxmlformats.org/officeDocument/2006/relationships/hyperlink" Target="http://www.sec.gov/Archives/edgar/data/1000230/000119312513109588/d499109dex1018.htm" TargetMode="External"/><Relationship Id="rId37" Type="http://schemas.openxmlformats.org/officeDocument/2006/relationships/hyperlink" Target="http://www.sec.gov/Archives/edgar/data/1000230/000100023014000010/smithocc2ndamendtoamendand.htm" TargetMode="External"/><Relationship Id="rId38" Type="http://schemas.openxmlformats.org/officeDocument/2006/relationships/hyperlink" Target="http://www.sec.gov/Archives/edgar/data/1000230/000100023014000010/smithocc2ndamendtoamendand.htm" TargetMode="External"/><Relationship Id="rId39" Type="http://schemas.openxmlformats.org/officeDocument/2006/relationships/hyperlink" Target="http://www.sec.gov/Archives/edgar/data/1000230/000143774917011177/ex10-21.htm" TargetMode="External"/><Relationship Id="rId40" Type="http://schemas.openxmlformats.org/officeDocument/2006/relationships/hyperlink" Target="http://www.sec.gov/Archives/edgar/data/1000230/000143774917011177/ex10-21.htm" TargetMode="External"/><Relationship Id="rId41" Type="http://schemas.openxmlformats.org/officeDocument/2006/relationships/hyperlink" Target="http://www.sec.gov/Archives/edgar/data/1000230/000143774921028951/ex_315670.htm" TargetMode="External"/><Relationship Id="rId42" Type="http://schemas.openxmlformats.org/officeDocument/2006/relationships/hyperlink" Target="http://www.sec.gov/Archives/edgar/data/1000230/000143774924028941/ex_721000.htm" TargetMode="External"/><Relationship Id="rId43" Type="http://schemas.openxmlformats.org/officeDocument/2006/relationships/hyperlink" Target="http://www.sec.gov/Archives/edgar/data/1000230/000143774924028941/ex_721000.htm" TargetMode="External"/><Relationship Id="rId44" Type="http://schemas.openxmlformats.org/officeDocument/2006/relationships/hyperlink" Target="http://www.sec.gov/Archives/edgar/data/1000230/000143774924028941/ex_721001.htm" TargetMode="External"/><Relationship Id="rId45" Type="http://schemas.openxmlformats.org/officeDocument/2006/relationships/hyperlink" Target="http://www.sec.gov/Archives/edgar/data/1000230/000143774925022531/ex_837294.htm" TargetMode="External"/><Relationship Id="rId46" Type="http://schemas.openxmlformats.org/officeDocument/2006/relationships/hyperlink" Target="http://www.sec.gov/Archives/edgar/data/1000230/000143774923034978/ex_605463.htm" TargetMode="External"/><Relationship Id="rId47" Type="http://schemas.openxmlformats.org/officeDocument/2006/relationships/fontTable" Target="fontTable.xml"/><Relationship Id="rId4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20517</Words>
  <Characters>113242</Characters>
  <CharactersWithSpaces>134754</CharactersWithSpaces>
  <Paragraphs>3768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