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0" w:lineRule="exact"/>
        <w:rPr>
          <w:sz w:val="24"/>
          <w:szCs w:val="24"/>
          <w:color w:val="auto"/>
        </w:rPr>
      </w:pPr>
    </w:p>
    <w:p>
      <w:pPr>
        <w:ind w:left="4880"/>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00" w:lineRule="exact"/>
        <w:rPr>
          <w:sz w:val="24"/>
          <w:szCs w:val="24"/>
          <w:color w:val="auto"/>
        </w:rPr>
      </w:pPr>
    </w:p>
    <w:p>
      <w:pPr>
        <w:spacing w:after="0" w:line="2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191135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43"/>
          <w:szCs w:val="43"/>
          <w:b w:val="1"/>
          <w:bCs w:val="1"/>
          <w:color w:val="auto"/>
        </w:rPr>
        <w:t>OPTICAL CABLE CORPORATION</w:t>
      </w:r>
    </w:p>
    <w:p>
      <w:pPr>
        <w:spacing w:after="0" w:line="58"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313055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1" w:lineRule="exact"/>
        <w:rPr>
          <w:sz w:val="24"/>
          <w:szCs w:val="24"/>
          <w:color w:val="auto"/>
        </w:rPr>
      </w:pPr>
    </w:p>
    <w:tbl>
      <w:tblPr>
        <w:tblLayout w:type="fixed"/>
        <w:tblInd w:w="740" w:type="dxa"/>
        <w:tblCellMar>
          <w:top w:w="0" w:type="dxa"/>
          <w:left w:w="0" w:type="dxa"/>
          <w:bottom w:w="0" w:type="dxa"/>
          <w:right w:w="0" w:type="dxa"/>
        </w:tblCellMar>
      </w:tblP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Virginia</w:t>
            </w:r>
          </w:p>
        </w:tc>
        <w:tc>
          <w:tcPr>
            <w:tcW w:w="24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w w:val="99"/>
              </w:rPr>
              <w:t>000-27022</w:t>
            </w: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54-1237042</w:t>
            </w:r>
          </w:p>
        </w:tc>
      </w:tr>
      <w:tr>
        <w:trPr>
          <w:trHeight w:val="216"/>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2480" w:type="dxa"/>
            <w:vAlign w:val="bottom"/>
          </w:tcPr>
          <w:p>
            <w:pPr>
              <w:jc w:val="center"/>
              <w:ind w:right="77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180" w:type="dxa"/>
            <w:vAlign w:val="bottom"/>
          </w:tcPr>
          <w:p>
            <w:pPr>
              <w:jc w:val="center"/>
              <w:ind w:right="173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2480" w:type="dxa"/>
            <w:vAlign w:val="bottom"/>
          </w:tcPr>
          <w:p>
            <w:pPr>
              <w:jc w:val="center"/>
              <w:ind w:right="790"/>
              <w:spacing w:after="0"/>
              <w:rPr>
                <w:sz w:val="20"/>
                <w:szCs w:val="20"/>
                <w:color w:val="auto"/>
              </w:rPr>
            </w:pPr>
            <w:r>
              <w:rPr>
                <w:rFonts w:ascii="Times New Roman" w:cs="Times New Roman" w:eastAsia="Times New Roman" w:hAnsi="Times New Roman"/>
                <w:sz w:val="18"/>
                <w:szCs w:val="18"/>
                <w:b w:val="1"/>
                <w:bCs w:val="1"/>
                <w:color w:val="auto"/>
              </w:rPr>
              <w:t>File Number)</w:t>
            </w: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r>
      <w:tr>
        <w:trPr>
          <w:trHeight w:val="410"/>
        </w:trPr>
        <w:tc>
          <w:tcPr>
            <w:tcW w:w="41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9"/>
              </w:rPr>
              <w:t>5290 Concourse Drive</w:t>
            </w:r>
          </w:p>
        </w:tc>
        <w:tc>
          <w:tcPr>
            <w:tcW w:w="2480" w:type="dxa"/>
            <w:vAlign w:val="bottom"/>
          </w:tcPr>
          <w:p>
            <w:pPr>
              <w:spacing w:after="0"/>
              <w:rPr>
                <w:sz w:val="24"/>
                <w:szCs w:val="24"/>
                <w:color w:val="auto"/>
              </w:rPr>
            </w:pPr>
          </w:p>
        </w:tc>
        <w:tc>
          <w:tcPr>
            <w:tcW w:w="2920" w:type="dxa"/>
            <w:vAlign w:val="bottom"/>
          </w:tcPr>
          <w:p>
            <w:pPr>
              <w:spacing w:after="0"/>
              <w:rPr>
                <w:sz w:val="24"/>
                <w:szCs w:val="24"/>
                <w:color w:val="auto"/>
              </w:rPr>
            </w:pPr>
          </w:p>
        </w:tc>
      </w:tr>
      <w:tr>
        <w:trPr>
          <w:trHeight w:val="216"/>
        </w:trPr>
        <w:tc>
          <w:tcPr>
            <w:tcW w:w="41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Roanoke, VA</w:t>
            </w:r>
          </w:p>
        </w:tc>
        <w:tc>
          <w:tcPr>
            <w:tcW w:w="2480" w:type="dxa"/>
            <w:vAlign w:val="bottom"/>
          </w:tcPr>
          <w:p>
            <w:pPr>
              <w:spacing w:after="0"/>
              <w:rPr>
                <w:sz w:val="18"/>
                <w:szCs w:val="18"/>
                <w:color w:val="auto"/>
              </w:rPr>
            </w:pP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24019</w:t>
            </w:r>
          </w:p>
        </w:tc>
      </w:tr>
      <w:tr>
        <w:trPr>
          <w:trHeight w:val="238"/>
        </w:trPr>
        <w:tc>
          <w:tcPr>
            <w:tcW w:w="6660" w:type="dxa"/>
            <w:vAlign w:val="bottom"/>
            <w:gridSpan w:val="2"/>
          </w:tcPr>
          <w:p>
            <w:pPr>
              <w:jc w:val="center"/>
              <w:ind w:right="51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r>
        <w:trPr>
          <w:trHeight w:val="432"/>
        </w:trPr>
        <w:tc>
          <w:tcPr>
            <w:tcW w:w="4180" w:type="dxa"/>
            <w:vAlign w:val="bottom"/>
          </w:tcPr>
          <w:p>
            <w:pPr>
              <w:jc w:val="center"/>
              <w:ind w:left="1790"/>
              <w:spacing w:after="0"/>
              <w:rPr>
                <w:sz w:val="20"/>
                <w:szCs w:val="20"/>
                <w:color w:val="auto"/>
              </w:rPr>
            </w:pPr>
            <w:r>
              <w:rPr>
                <w:rFonts w:ascii="Times New Roman" w:cs="Times New Roman" w:eastAsia="Times New Roman" w:hAnsi="Times New Roman"/>
                <w:sz w:val="18"/>
                <w:szCs w:val="18"/>
                <w:b w:val="1"/>
                <w:bCs w:val="1"/>
                <w:color w:val="auto"/>
                <w:w w:val="98"/>
              </w:rPr>
              <w:t>Tracy G. Smith</w:t>
            </w:r>
          </w:p>
        </w:tc>
        <w:tc>
          <w:tcPr>
            <w:tcW w:w="2480" w:type="dxa"/>
            <w:vAlign w:val="bottom"/>
          </w:tcPr>
          <w:p>
            <w:pPr>
              <w:spacing w:after="0"/>
              <w:rPr>
                <w:sz w:val="24"/>
                <w:szCs w:val="24"/>
                <w:color w:val="auto"/>
              </w:rPr>
            </w:pPr>
          </w:p>
        </w:tc>
        <w:tc>
          <w:tcPr>
            <w:tcW w:w="29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rPr>
              <w:t>(540) 265-0690</w:t>
            </w:r>
          </w:p>
        </w:tc>
      </w:tr>
    </w:tbl>
    <w:p>
      <w:pPr>
        <w:ind w:left="1580"/>
        <w:spacing w:after="0"/>
        <w:rPr>
          <w:sz w:val="20"/>
          <w:szCs w:val="20"/>
          <w:color w:val="auto"/>
        </w:rPr>
      </w:pPr>
      <w:r>
        <w:rPr>
          <w:rFonts w:ascii="Times New Roman" w:cs="Times New Roman" w:eastAsia="Times New Roman" w:hAnsi="Times New Roman"/>
          <w:sz w:val="18"/>
          <w:szCs w:val="18"/>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177165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8"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320" w:top="416" w:right="8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1.01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Conflict Minerals Disclosure</w:t>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Overview</w:t>
      </w:r>
    </w:p>
    <w:p>
      <w:pPr>
        <w:spacing w:after="0" w:line="227"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Optical Cable Corporation (or OCC®) manufactures a broad range of fiber optic and copper data communication cabling and connectivity solutions. OCC’s products include fiber optic and copper cabling, fiber optic and copper connectors, specialty fiber optic and copper connectors, fiber optic and copper patch cords, pre-terminated fiber optic and copper cable assemblies, racks, cabinets, datacom enclosures, patch panels, face plates, multi-media boxes, and other cable and connectivity management accessories.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Conflict Minerals Disclosure</w:t>
      </w:r>
    </w:p>
    <w:p>
      <w:pPr>
        <w:spacing w:after="0" w:line="22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Section 1502(e)(4) of the Dodd-Frank Wall Street Reform and Consumer Protection Act of 2010 (“the Act”) defines conflict minerals as columbite-tantalite (tantalum), cassiterite (tin), wolframite (tungsten) and gold, commonly referred to collectively as “3TG”. OCC evaluated its current product lines and determined that certain manufactured products contain 3TG.</w:t>
      </w:r>
    </w:p>
    <w:p>
      <w:pPr>
        <w:spacing w:after="0" w:line="17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Certain of the 3TG minerals are contained in some of the wire and metal components used by OCC in the connector manufacturing process. On a more limited basis, OCC uses certain 3TG minerals in the production of products in its fiber optic cable product lines.</w:t>
      </w:r>
    </w:p>
    <w:p>
      <w:pPr>
        <w:spacing w:after="0" w:line="16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OCC does not make direct purchases of raw ore or unrefined minerals or any direct purchases from recycled or scrap sources, and makes no direct purchases in the Democratic Republic of the Congo (“DRC”) or its adjoining countries. OCC has conducted a country of origin inquiry in good faith by identifying suppliers of the parts used in OCC products that are likely to contain 3TG and requesting that suppliers respond with a completed Conflict-Free Sourcing Initiative (“CFSI”) Conflict Minerals Reporting Template. This template facilitates disclosure and communication of information regarding the origin of conflict minerals, smelters that provide material to a company’s supply chain, and supplier due diligence.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OCC’s due diligence measures included:</w:t>
      </w:r>
    </w:p>
    <w:p>
      <w:pPr>
        <w:spacing w:after="0" w:line="225" w:lineRule="exact"/>
        <w:rPr>
          <w:sz w:val="20"/>
          <w:szCs w:val="20"/>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a supply chain survey with all suppliers of components that contain 3TG using the CFSI Conflict Minerals Reporting Template.</w:t>
      </w:r>
    </w:p>
    <w:p>
      <w:pPr>
        <w:spacing w:after="0" w:line="27"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Tracking and reviewing responses to assess reliability.</w:t>
      </w:r>
    </w:p>
    <w:p>
      <w:pPr>
        <w:spacing w:after="0" w:line="9" w:lineRule="exact"/>
        <w:rPr>
          <w:rFonts w:ascii="Times New Roman" w:cs="Times New Roman" w:eastAsia="Times New Roman" w:hAnsi="Times New Roman"/>
          <w:sz w:val="18"/>
          <w:szCs w:val="18"/>
          <w:color w:val="auto"/>
        </w:rPr>
      </w:pPr>
    </w:p>
    <w:p>
      <w:pPr>
        <w:ind w:left="980" w:right="24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up with suppliers who failed to return responses or returned incomplete or inconsistent responses. OCC received valid responses from 32 of 36 surveyed suppliers.</w:t>
      </w:r>
    </w:p>
    <w:p>
      <w:pPr>
        <w:ind w:left="980" w:right="240" w:hanging="324"/>
        <w:spacing w:after="0" w:line="250" w:lineRule="auto"/>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smelters and refiners identified in the supply chain survey to determine location of the smelters and refiners indicated by the respondent and that the respondent has provided an indication of the smelters and refiners “conflict free” status.</w:t>
      </w:r>
    </w:p>
    <w:p>
      <w:pPr>
        <w:ind w:left="980" w:hanging="324"/>
        <w:spacing w:after="0"/>
        <w:tabs>
          <w:tab w:leader="none" w:pos="9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additional inquiries of respondents if questions arose as to the “conflict free” status.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Forty-seven percent of the suppliers who responded to the survey reported that the 3TG minerals in the parts they sell to OCC did not originate in the DRC or adjoining countries. However, the remaining suppliers reported that the minerals contained in their products may have originated in the DRC or adjoining countries, or were unable to specify the origin of the minerals. Please see the attached Conflict Minerals Report (Exhibit 1.01). Based on the information received, OCC does not have sufficient information to determine whether the necessary 3TG minerals contained in our products directly or indirectly financed or benefited armed groups in the DRC or its adjoining countries.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351155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 xml:space="preserve">A copy of OCC’s conflict minerals disclosure herein is publicly available at: </w:t>
      </w:r>
      <w:r>
        <w:rPr>
          <w:rFonts w:ascii="Times New Roman" w:cs="Times New Roman" w:eastAsia="Times New Roman" w:hAnsi="Times New Roman"/>
          <w:sz w:val="18"/>
          <w:szCs w:val="18"/>
          <w:u w:val="single" w:color="auto"/>
          <w:color w:val="auto"/>
        </w:rPr>
        <w:t>www.occfiber.com</w:t>
      </w:r>
      <w:r>
        <w:rPr>
          <w:rFonts w:ascii="Times New Roman" w:cs="Times New Roman" w:eastAsia="Times New Roman" w:hAnsi="Times New Roman"/>
          <w:sz w:val="18"/>
          <w:szCs w:val="18"/>
          <w:color w:val="auto"/>
        </w:rPr>
        <w:t xml:space="preserve"> under “Investor Relations”.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Conflict Minerals Report required by Item 1.01 is filed as </w:t>
      </w:r>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color w:val="auto"/>
        </w:rPr>
        <w:t xml:space="preserve"> to this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2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Resource Extraction Issuer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3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3.01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Conflict Minerals Report required by Item 1.01 is filed as </w:t>
      </w:r>
      <w:r>
        <w:rPr>
          <w:rFonts w:ascii="Times New Roman" w:cs="Times New Roman" w:eastAsia="Times New Roman" w:hAnsi="Times New Roman"/>
          <w:sz w:val="18"/>
          <w:szCs w:val="18"/>
          <w:u w:val="single" w:color="auto"/>
          <w:color w:val="0000EE"/>
        </w:rPr>
        <w:t>Exhibit 1.01</w:t>
      </w:r>
      <w:r>
        <w:rPr>
          <w:rFonts w:ascii="Times New Roman" w:cs="Times New Roman" w:eastAsia="Times New Roman" w:hAnsi="Times New Roman"/>
          <w:sz w:val="18"/>
          <w:szCs w:val="18"/>
          <w:color w:val="auto"/>
        </w:rPr>
        <w:t xml:space="preserve"> to this Form SD.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right="6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37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OPTICAL CABLE CORPORATION</w:t>
      </w:r>
    </w:p>
    <w:p>
      <w:pPr>
        <w:spacing w:after="0" w:line="225"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Tracy G. Smith</w:t>
            </w:r>
          </w:p>
        </w:tc>
      </w:tr>
      <w:tr>
        <w:trPr>
          <w:trHeight w:val="191"/>
        </w:trPr>
        <w:tc>
          <w:tcPr>
            <w:tcW w:w="5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Tracy G. Smith</w:t>
            </w:r>
          </w:p>
        </w:tc>
      </w:tr>
      <w:tr>
        <w:trPr>
          <w:trHeight w:val="234"/>
        </w:trPr>
        <w:tc>
          <w:tcPr>
            <w:tcW w:w="5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22, 2026</w:t>
      </w:r>
    </w:p>
    <w:p>
      <w:pPr>
        <w:sectPr>
          <w:pgSz w:w="11900" w:h="16838" w:orient="portrait"/>
          <w:cols w:equalWidth="0" w:num="1">
            <w:col w:w="11240"/>
          </w:cols>
          <w:pgMar w:left="320" w:top="58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229"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Optical Cable Corporation (or OCC®) has performed the following due diligence measures to determine whether the 3TG minerals included in our products financed or benefited armed groups in the Democratic Republic of the Congo (“DRC”) or its adjoining countries: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1. Establish Strong Company Management Systems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Control Systems</w:t>
      </w:r>
    </w:p>
    <w:p>
      <w:pPr>
        <w:spacing w:after="0" w:line="227"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OCC engages in industry-wide initiatives to enhance supply chain responsibility and to keep abreast of industry best practices. OCC conducted a supply chain survey with all suppliers of components that contain 3TG minerals using the Conflict-Free Sourcing Initiative (“CFSI”) Conflict Minerals Reporting Template. OCC then reviewed the results of the supply chain survey and retained documentation relevant to the use of any 3TG minerals.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Supplier Engagement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OCC has a strong level of engagement with its direct suppliers and, when necessary, directly engages their upstream suppliers. OCC expects our suppliers to practice responsible sourcing and to cooperate with OCC's conflict minerals reporting and due diligence efforts. OCC reviewed the smelters and refiners identified in the supply chain survey to determine location of the smelters and refiners indicated by the respondent and that the respondent has provided an indication of the smelters and refiners “conflict free” status and made additional inquiries if questions arose as to the “conflict free” status.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2. Identify and Assess Risks in the Supply Chain</w:t>
      </w:r>
    </w:p>
    <w:p>
      <w:pPr>
        <w:spacing w:after="0" w:line="229"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OCC engages with its direct suppliers and, when believed to be necessary, their upstream suppliers to evaluate the source of 3TG minerals in its products. Upon receiving a supplier CFSI Reporting Template, members of the OCC conflict minerals diligence team review the information for consistency and accuracy. When a report warrants clarification or confirmation, a member of the OCC conflict minerals diligence team contacts the direct supplier, or in some cases their upstream supplier, to clarify or confirm the information and responses.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3. Design and Implement a Strategy to Respond to Identified Risks</w:t>
      </w:r>
    </w:p>
    <w:p>
      <w:pPr>
        <w:spacing w:after="0" w:line="22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OCC performs a risk assessment to identify areas of possible concern within its supply chain, evaluating areas of possible concern and deploying appropriate risk mitigation controls and strategies.</w:t>
      </w:r>
    </w:p>
    <w:p>
      <w:pPr>
        <w:spacing w:after="0" w:line="162"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OCC continues to look for ways to enhance its conflict minerals compliance program, including the processes outlined above. In addition, OCC intends to continue collaborating with its suppliers to promote responsible sourcing of conflict minerals. To accomplish this objective, OCC will continue outreach and education efforts among its suppliers to promote industry best practices.</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One area for further mitigating risk in OCC’s supply chain is to identify the countries of origin of all 3TG minerals in its products. Many of OCC's suppliers routinely provide responses at a supplier-wide level, and not specifically with respect to the component materials that these suppliers supplied to OCC. We have improved our risk assessment by requesting that all CFSI Reporting Templates be completed at the product level and by providing a list of relevant products purchased from each supplier to aid in completion. However, many suppliers still provide responses at a supplier-wide level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117" w:right="4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4. Carry Out Independent Third-Party Audit of Smelter/Refiner</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b w:val="1"/>
          <w:bCs w:val="1"/>
          <w:u w:val="single" w:color="auto"/>
          <w:color w:val="auto"/>
        </w:rPr>
        <w:t>s Due Diligence Practices</w:t>
      </w:r>
    </w:p>
    <w:p>
      <w:pPr>
        <w:spacing w:after="0" w:line="22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If necessary, and to the extent OCC could reasonably do so, OCC would provide information requested in connection with audits of conflict minerals smelters and refiners conducted by third parties.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Step 5. Report Annually on Supply Chain Due Diligence</w:t>
      </w:r>
    </w:p>
    <w:p>
      <w:pPr>
        <w:spacing w:after="0" w:line="229"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This report constitutes OCC's annual report on its conflict minerals due diligence and is publicly available on the Company's website. The information contained in, and that can be accessed through, the website of the Company is not, and shall not be deemed to be, a part of this report or the related Form SD or incorporated into any other filings Optical Cable Corporation makes with the SEC.</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following table is a list of smelters provided by OCC’s suppliers that directly or indirectly provide 3TG minerals to such suppliers which possibly may have materials sourced from the DRC or its adjoining countries. As described herein, OCC is not able to determine with certainty if any of its products may or may not include materials that have been sourced from the DRC or its adjoining countries because (1) many of OCC’s suppliers are unable to determine if they received any 3TG minerals from upstream suppliers which include materials that have been sourced from the DRC or its adjoining countries, and (2) many of OCC’s suppliers routinely provide responses at a supplier-wide level, and not specifically with respect to the component materials that these suppliers used in products supplied to OCC.</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OCC requests suppliers who sell OCC materials that contain 3TG minerals to complete CFSI Reporting Templates and when believed appropriate OCC makes additional inquiries of such suppliers, and in some cases the suppliers of OCC’s suppliers, as part of OCC’s diligence supporting its conflict minerals reporting. Based on the information OCC has been able to obtain from its suppliers of materials that contain 3TG minerals through such questionnaires and inquires, OCC was unable to determine whether materials from suppliers contain 3TG minerals that may have been sourced from the DRC or its adjoining countries, whether such minerals were sourced from recycled or scrap sources, or whether such minerals directly or indirectly financed or benefited armed groups.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211"/>
        </w:trPr>
        <w:tc>
          <w:tcPr>
            <w:tcW w:w="1240" w:type="dxa"/>
            <w:vAlign w:val="bottom"/>
            <w:tcBorders>
              <w:top w:val="single" w:sz="8" w:color="auto"/>
              <w:lef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PRODUCT</w:t>
            </w:r>
          </w:p>
        </w:tc>
        <w:tc>
          <w:tcPr>
            <w:tcW w:w="564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8"/>
                <w:szCs w:val="18"/>
                <w:color w:val="auto"/>
              </w:rPr>
              <w:t>SMELTER</w:t>
            </w:r>
          </w:p>
        </w:tc>
        <w:tc>
          <w:tcPr>
            <w:tcW w:w="4360" w:type="dxa"/>
            <w:vAlign w:val="bottom"/>
            <w:tcBorders>
              <w:top w:val="single" w:sz="8" w:color="auto"/>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COUNTRY</w:t>
            </w:r>
          </w:p>
        </w:tc>
      </w:tr>
      <w:tr>
        <w:trPr>
          <w:trHeight w:val="234"/>
        </w:trPr>
        <w:tc>
          <w:tcPr>
            <w:tcW w:w="124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MINERAL</w:t>
            </w:r>
          </w:p>
        </w:tc>
        <w:tc>
          <w:tcPr>
            <w:tcW w:w="5640" w:type="dxa"/>
            <w:vAlign w:val="bottom"/>
            <w:tcBorders>
              <w:bottom w:val="single" w:sz="8" w:color="auto"/>
            </w:tcBorders>
          </w:tcPr>
          <w:p>
            <w:pPr>
              <w:spacing w:after="0"/>
              <w:rPr>
                <w:sz w:val="20"/>
                <w:szCs w:val="20"/>
                <w:color w:val="auto"/>
              </w:rPr>
            </w:pPr>
          </w:p>
        </w:tc>
        <w:tc>
          <w:tcPr>
            <w:tcW w:w="4360" w:type="dxa"/>
            <w:vAlign w:val="bottom"/>
            <w:tcBorders>
              <w:bottom w:val="single" w:sz="8" w:color="auto"/>
              <w:right w:val="single" w:sz="8" w:color="auto"/>
            </w:tcBorders>
          </w:tcPr>
          <w:p>
            <w:pPr>
              <w:spacing w:after="0"/>
              <w:rPr>
                <w:sz w:val="20"/>
                <w:szCs w:val="20"/>
                <w:color w:val="auto"/>
              </w:rPr>
            </w:pPr>
          </w:p>
        </w:tc>
      </w:tr>
      <w:tr>
        <w:trPr>
          <w:trHeight w:val="191"/>
        </w:trPr>
        <w:tc>
          <w:tcPr>
            <w:tcW w:w="12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line="191" w:lineRule="exact"/>
              <w:rPr>
                <w:sz w:val="20"/>
                <w:szCs w:val="20"/>
                <w:color w:val="auto"/>
              </w:rPr>
            </w:pPr>
            <w:r>
              <w:rPr>
                <w:rFonts w:ascii="Times New Roman" w:cs="Times New Roman" w:eastAsia="Times New Roman" w:hAnsi="Times New Roman"/>
                <w:sz w:val="18"/>
                <w:szCs w:val="18"/>
                <w:color w:val="auto"/>
              </w:rPr>
              <w:t>8853 S.p.A.</w:t>
            </w:r>
          </w:p>
        </w:tc>
        <w:tc>
          <w:tcPr>
            <w:tcW w:w="4360" w:type="dxa"/>
            <w:vAlign w:val="bottom"/>
          </w:tcPr>
          <w:p>
            <w:pPr>
              <w:ind w:left="800"/>
              <w:spacing w:after="0" w:line="191" w:lineRule="exact"/>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ABC Refinery Pty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African Gold Refinery</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Agosi AG</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Albino Mountinho Lda.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Alexy Metals</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AngloGold Ashanti Corrego do Sitio Mineracao</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Argor-Heraeus S.A.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METALFINE, Inc.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Pretec Corp.</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Canada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Asahi Refining USA Inc.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Asaka Riken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Attero Recycling Pvt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 Traders and Refiners</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Aurubis AG</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Bangalore Refinery</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Bangko Sentral ng Pilipinas (Central Bank of the Philippines)</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Boliden Ronnskar</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 Hafner GmbH + Co. KG</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Caridad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CCR Refinery - Glencore Canada Corporation</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Cendres + Metaux S.A.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CGR Metalloys Pvt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Chimet S.p.A.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China's Shandong Gold Mining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Chugai Mining</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Coimpa Industrial LTDA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Dongwu Gold Group</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Dowa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DSC (Do Sung Corporation)</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Elite Industech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Emirates Gold DMCC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Fujairah Gold FZC</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Gasabo Gold Refinery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GG Refinery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GGC Gujrat Gold Centre Pvt.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by Gold Colombia</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Coast Refinery</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Gold Refinery of Zijin Mining Group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Great Wall Precious Metals Co., Ltd. of CBPM</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Guoda Safina High-Tech Environmental Refinery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Heimerle + Meule GmbH</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Henan Yuguang Gold &amp; Lead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Germany GmbH Co. KG</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Guiyang yinxing Nonferrous Smelting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HwaSeong CJ CO., LTD.</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 - Platinum Metals Refinery (PMR)</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Impala Platinum - Rustenburg Smelter</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34"/>
        </w:trPr>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56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Industrial Refining Company</w:t>
            </w:r>
          </w:p>
        </w:tc>
        <w:tc>
          <w:tcPr>
            <w:tcW w:w="43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BELGIUM</w:t>
            </w:r>
          </w:p>
        </w:tc>
      </w:tr>
    </w:tbl>
    <w:p>
      <w:pPr>
        <w:sectPr>
          <w:pgSz w:w="11900" w:h="16838" w:orient="portrait"/>
          <w:cols w:equalWidth="0" w:num="1">
            <w:col w:w="11240"/>
          </w:cols>
          <w:pgMar w:left="320" w:top="579" w:right="339" w:bottom="0" w:gutter="0" w:footer="0" w:header="0"/>
        </w:sectPr>
      </w:pPr>
    </w:p>
    <w:bookmarkStart w:id="6" w:name="page7"/>
    <w:bookmarkEnd w:id="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Istanbul Gold Refinery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Italpreziosi</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JALAN &amp; Company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 Mint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Jiangxi Copper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JSC Novosibirsk Refinery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JSC Uralelectromed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JX Nippon Mining &amp; Metals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 Rasmussen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Kaloti Precious Metals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Kazakhmys Smelting LLC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Kazzinc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Kennecott Utah Copper LLC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KGHM Polska Miedz Spolka Akcyjna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Kojima Chemicals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 Zinc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Kundan Care Products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Kyrgyzaltyn JSC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Lingbao Gold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L'Orfebre S.A.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LS MnM Inc.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LT Metal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Luoyang Zijin Yinhui Gold Refinery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Marsam Metals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Materion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Matsuda Sangyo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MD Overseas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Metallix Refining Inc.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Switzerland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Technologies S.A.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Metalurgica Met-Mex Penoles S.A. De C.V.</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Minera Titan del Peru SRL (MTP) - Belen Plant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MKS PAMP SA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MMTC-PAMP India Pvt.,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Modeltech Sdn Bhd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Morris and Watson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Nadir Metal Rafineri San. Ve Tic. A.S.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NH Recytech Company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Nihon Material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NOBLE METAL SERVICES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Ogussa Osterreichische Gold- und Silber-Scheideanstalt GmbH</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918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OJSC "The Gulidov Krasnoyarsk Non-Ferrous Metals Plant" (OJSC Krastsvetmet) 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Pease &amp; Curren</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PX Precinox S.A.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QG Refining, LLC</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Rand Refinery (Pty)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REMONDIS PMR B.V.</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Royal Canadian Mint</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SAAMP</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Sabin Metal Corp.</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w w:val="98"/>
              </w:rPr>
              <w:t>UNITED STATES OF AMERICA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Safimet S.p.A</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SAFINA A.S.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Sai Refinery</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INDIA</w:t>
            </w:r>
          </w:p>
        </w:tc>
      </w:tr>
      <w:tr>
        <w:trPr>
          <w:trHeight w:val="234"/>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06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Sam Precious Metals</w:t>
            </w:r>
          </w:p>
        </w:tc>
        <w:tc>
          <w:tcPr>
            <w:tcW w:w="312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UNITED ARAB EMIRATES</w:t>
            </w:r>
          </w:p>
        </w:tc>
      </w:tr>
    </w:tbl>
    <w:p>
      <w:pPr>
        <w:sectPr>
          <w:pgSz w:w="11900" w:h="16838" w:orient="portrait"/>
          <w:cols w:equalWidth="0" w:num="1">
            <w:col w:w="10180"/>
          </w:cols>
          <w:pgMar w:left="320" w:top="121" w:right="139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SAM Precious Metals FZ-LLC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Samduck Precious Metals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Samwon Metals Corp.</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SEMPSA Joyeria Plateria S.A.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Shan Dong Huangjin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Shandong Gold Smelting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Shandong Zhaojin Gold &amp; Silver Refinery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18"/>
                <w:szCs w:val="18"/>
                <w:color w:val="auto"/>
              </w:rPr>
            </w:pP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SHENZHEN JINJUNWEI RESOURCE COMPREHENSIVE DEVELOPMENT</w:t>
            </w:r>
          </w:p>
        </w:tc>
        <w:tc>
          <w:tcPr>
            <w:tcW w:w="268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Solar Applied Materials Technology Corp.</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Sovereign Metals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Sudan Gold Refinery</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SungEel HiMetal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T.C.A S.p.A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Tanaka Kikinzoku Kogyo K.K.</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TITAN COMPANY LIMITED, JEWELLERY DIVISION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Tokuriki Honten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Tongling Nonferrous Metals Group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TOO Tau-Ken-Altyn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Torecom</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Valcambi S.A.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WEEEREFINING</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Yamakin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Yokohama Metal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Gold</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5D Production OU</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AMG Brasil</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Changsha South Tantalum Niobium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 Block Metals, LLC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Exotech Inc.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H.C. Starck Hermsdorf GmbH</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Jiangxi Sanshi Nonferrous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Jiangxi Suns Nonferrous Materials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Jiujiang Janny New Material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Jiujiang Tanbre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KEMET de Mexico</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Materion Newton Inc.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Mineracao Taboca S.A.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NPM Silmet AS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PowerX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QuantumClean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RFH Yancheng Jinye New Material Technology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Solikamsk Magnesium Works OAO</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Taki Chemical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TANIOBIS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bl>
    <w:p>
      <w:pPr>
        <w:sectPr>
          <w:pgSz w:w="11900" w:h="16838" w:orient="portrait"/>
          <w:cols w:equalWidth="0" w:num="1">
            <w:col w:w="10260"/>
          </w:cols>
          <w:pgMar w:left="320" w:top="121" w:right="131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TANIOBIS GmbH</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TANIOBIS Japan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Telex Metals</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ULVAC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Tantalum</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Yanling Jincheng Tantalum &amp; Niobium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Alent plc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Alpha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Alpha Assembly Solutions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Alpha Metals (Taiwan)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Aurubis Beerse</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Aurubis Berango</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 Tin (Hechi)</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 Tin Group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China Yunnan Tin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Cookson</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18"/>
                <w:szCs w:val="18"/>
                <w:color w:val="auto"/>
              </w:rPr>
            </w:pP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CRM Fundicao De Metais E Comercio De Equipamentos Eletronicos Do Brasil</w:t>
            </w:r>
          </w:p>
        </w:tc>
        <w:tc>
          <w:tcPr>
            <w:tcW w:w="35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Ltda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CRM Synergies</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CV Ayi Jaya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Dongguan Best Alloys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Dowa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DS Myanmar</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1160" w:type="dxa"/>
            <w:vAlign w:val="bottom"/>
          </w:tcPr>
          <w:p>
            <w:pPr>
              <w:spacing w:after="0"/>
              <w:rPr>
                <w:sz w:val="18"/>
                <w:szCs w:val="18"/>
                <w:color w:val="auto"/>
              </w:rPr>
            </w:pP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w:t>
            </w:r>
          </w:p>
        </w:tc>
        <w:tc>
          <w:tcPr>
            <w:tcW w:w="3540" w:type="dxa"/>
            <w:vAlign w:val="bottom"/>
          </w:tcPr>
          <w:p>
            <w:pPr>
              <w:spacing w:after="0"/>
              <w:rPr>
                <w:sz w:val="18"/>
                <w:szCs w:val="18"/>
                <w:color w:val="auto"/>
              </w:rPr>
            </w:pP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Company</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 Vinto</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Empresa Metalúrgica Vinto</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ENAF</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Estanho de Rondonia S.A.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Feinhutte Halsbrucke GmbH</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Fenix Metals</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Funsur Smelter</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Gejiu City Fuxiang Industry and Trade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Gejiu Kai Meng Industry and Trade LLC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Gejiu Yunxin Nonferrous Electrolysis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Gejiu Zili Mining And Metallurgy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INDONESIAN STATE TIN CORPORATION MENTOK SMELTER</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Jean Goldschmidt International (JGI Hydrometal)</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Jiangxi New Nanshan Technology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Kundur Smelter</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Liuzhhou China Tin</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Luna Smelter,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Malaysia Smelting Corporation (MSC)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Melt Metais e Ligas S.A.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Metallic Resources,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Metallo Belgium N.V.</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Metallo Spain S.L.U.</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Mineracao Taboca S.A.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w w:val="99"/>
              </w:rPr>
              <w:t>CONGO, DEMOCRATIC REPUBLIC OF THE</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Minsur</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Modeltech Sdn Bhd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Novosibirsk Tin Combine</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OMSA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Operaciones Metalurgicas S.A.</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 Kay Metal, Inc</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5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MYANMAR</w:t>
            </w:r>
          </w:p>
        </w:tc>
      </w:tr>
    </w:tbl>
    <w:p>
      <w:pPr>
        <w:sectPr>
          <w:pgSz w:w="11900" w:h="16838" w:orient="portrait"/>
          <w:cols w:equalWidth="0" w:num="1">
            <w:col w:w="11180"/>
          </w:cols>
          <w:pgMar w:left="320" w:top="121" w:right="39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Arsed Indonesia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Artha Cipta Langgeng</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Bangka Prima Tin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Bangka Serumpun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Bangka Tin Industry</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Cipta Persada Mulia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Mitra Stania Prima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Panca Mega Persada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Prima Timah Utama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Rajehan Ariq</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Refined Bangka Tin</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Tambang Timah</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Timah Nusantara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Timah Tbk Kundur</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Timah Tbk Mentok</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Tirus Putra Mandiri</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PT Tommy Utama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Resind Industria e Comercio Ltda.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Rui Da Hung</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TAIWAN, PROVINCE OF 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Soft Metais Ltda.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Super Ligas</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w:t>
            </w:r>
          </w:p>
        </w:tc>
        <w:tc>
          <w:tcPr>
            <w:tcW w:w="26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SMELTING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 Solder Industry Corp.,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Thailand Smelting &amp; Refining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Thaisarco</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Tin Smelting Branch of Yunnan Tin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TRATHO Metal Quimica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White Solder Metalurgia e Mineracao Ltda.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White Solder Metalurgica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Yunnan Chengfeng Non-ferrous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Yunnan Tin Company,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Tin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A.L.M.T. Corp.</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ACL Metais Eireli</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Artek LLC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China Molybdenum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Chongyi Zhangyuan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CNMC (Guangxi) PGMA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Cronimet Brasil Ltda</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Ganzhou Jiangwu Ferrotungsten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Global Tungsten &amp; Powders LLC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H.C. Starck Tungsten GmbH</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HANNAE FOR T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Hubei Green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Hunan Chenzhou Mining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18"/>
                <w:szCs w:val="18"/>
                <w:color w:val="auto"/>
              </w:rPr>
            </w:pP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Hunan Shizhuyuan Nonferrous Metals Co., Ltd. Chenzhou Tungsten Products</w:t>
            </w:r>
          </w:p>
        </w:tc>
        <w:tc>
          <w:tcPr>
            <w:tcW w:w="2680" w:type="dxa"/>
            <w:vAlign w:val="bottom"/>
          </w:tcPr>
          <w:p>
            <w:pPr>
              <w:spacing w:after="0"/>
              <w:rPr>
                <w:sz w:val="18"/>
                <w:szCs w:val="18"/>
                <w:color w:val="auto"/>
              </w:rPr>
            </w:pP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Branch</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Hydrometallurg, JSC</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Japan New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644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Jing Yuan Tungsten Technology Co., Ltd.</w:t>
            </w:r>
          </w:p>
        </w:tc>
        <w:tc>
          <w:tcPr>
            <w:tcW w:w="268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8"/>
              </w:rPr>
              <w:t>TAIWAN, PROVINCE OF CHINA</w:t>
            </w:r>
          </w:p>
        </w:tc>
      </w:tr>
    </w:tbl>
    <w:p>
      <w:pPr>
        <w:sectPr>
          <w:pgSz w:w="11900" w:h="16838" w:orient="portrait"/>
          <w:cols w:equalWidth="0" w:num="1">
            <w:col w:w="10260"/>
          </w:cols>
          <w:pgMar w:left="320" w:top="121" w:right="131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Kennametal Fallon</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Kennametal Huntsville</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LAOS SOUTHERN MINING SMELTING SOLE CO.,LTD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w w:val="98"/>
              </w:rPr>
              <w:t>LAO PEOPLE'S DEMOCRATIC REPUBLIC</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Lianyou Metals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TAIWAN, PROVINCE OF 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LLC Vostok</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MALAMET SMELTING SDN. BHD.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Masan High-Tech Materials</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Moliren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Nam Viet Cromit Joint Stock Company</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Niagara Refining LLC</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NPP Tyazhmetprom LLC</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OOO “Technolom” 1</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OOO “Technolom” 2</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S.P.T. spol.s r.o.</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Sanher Tungsten Vietnam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Tungamoy Metals Inc.</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VIETNAM</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Wolfram Bergbau und Hutten AG</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Xiamen H.C.</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Xiamen Tungsten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40" w:type="dxa"/>
            <w:vAlign w:val="bottom"/>
          </w:tcPr>
          <w:p>
            <w:pPr>
              <w:spacing w:after="0"/>
              <w:rPr>
                <w:sz w:val="20"/>
                <w:szCs w:val="20"/>
                <w:color w:val="auto"/>
              </w:rPr>
            </w:pPr>
            <w:r>
              <w:rPr>
                <w:rFonts w:ascii="Times New Roman" w:cs="Times New Roman" w:eastAsia="Times New Roman" w:hAnsi="Times New Roman"/>
                <w:sz w:val="18"/>
                <w:szCs w:val="18"/>
                <w:color w:val="auto"/>
              </w:rPr>
              <w:t>Tungsten</w:t>
            </w:r>
          </w:p>
        </w:tc>
        <w:tc>
          <w:tcPr>
            <w:tcW w:w="56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4200" w:type="dxa"/>
            <w:vAlign w:val="bottom"/>
          </w:tcPr>
          <w:p>
            <w:pPr>
              <w:ind w:left="860"/>
              <w:spacing w:after="0"/>
              <w:rPr>
                <w:sz w:val="20"/>
                <w:szCs w:val="20"/>
                <w:color w:val="auto"/>
              </w:rPr>
            </w:pPr>
            <w:r>
              <w:rPr>
                <w:rFonts w:ascii="Times New Roman" w:cs="Times New Roman" w:eastAsia="Times New Roman" w:hAnsi="Times New Roman"/>
                <w:sz w:val="18"/>
                <w:szCs w:val="18"/>
                <w:color w:val="auto"/>
              </w:rPr>
              <w:t>CHINA</w:t>
            </w:r>
          </w:p>
        </w:tc>
      </w:tr>
    </w:tbl>
    <w:p>
      <w:pPr>
        <w:spacing w:after="0" w:line="1" w:lineRule="exact"/>
        <w:rPr>
          <w:sz w:val="20"/>
          <w:szCs w:val="20"/>
          <w:color w:val="auto"/>
        </w:rPr>
      </w:pPr>
    </w:p>
    <w:sectPr>
      <w:pgSz w:w="11900" w:h="16838" w:orient="portrait"/>
      <w:cols w:equalWidth="0" w:num="1">
        <w:col w:w="11020"/>
      </w:cols>
      <w:pgMar w:left="320" w:top="12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2026-05-22T15:26:46Z</dcterms:created>
  <dcterms:modified xsi:type="dcterms:W3CDTF">2026-05-22T15:26:46Z</dcterms:modified>
</cp:coreProperties>
</file>