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HOLLAND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5290 CONCOURSE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ROANOKE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OPTICAL CABLE CORP</w:t>
              </w:r>
            </w:hyperlink>
            <w:r>
              <w:rPr/>
              <w:t xml:space="preserve"> [ </w:t>
            </w:r>
            <w:r>
              <w:rPr>
                <w:rFonts w:ascii="Times;serif" w:hAnsi="Times;serif"/>
                <w:color w:val="0000FF"/>
                <w:sz w:val="24"/>
                <w:shd w:fill="FFFFFF" w:val="clear"/>
              </w:rPr>
              <w:t>OCC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151,240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Directors of the Company receive stock and cash as compensation for their services to the Company. Director received an award of 3,733 common shares issued under the Optical Cable Corporation 2017 Stock Incentive Plan, as amended, for the stock portion of the annual retainer for the 2026-2027 board year based on a retainer value of $50,000 at a trading price per share of $13.393. Unless otherwise set forth in the grant award, the 3,733 common shares are subject to forfeiture until they fully vest on June 17,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 Holland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198" TargetMode="External"/><Relationship Id="rId5" Type="http://schemas.openxmlformats.org/officeDocument/2006/relationships/hyperlink" Target="http://www.sec.gov/cgi-bin/browse-edgar?action=getcompany&amp;CIK=00010002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3441</Characters>
  <CharactersWithSpaces>4028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